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2ECF" w:rsidRDefault="00A02ECF">
      <w:pPr>
        <w:rPr>
          <w:color w:val="000000"/>
        </w:rPr>
      </w:pPr>
    </w:p>
    <w:p w:rsidR="00A02ECF" w:rsidRDefault="006104A2">
      <w:pPr>
        <w:spacing w:before="960"/>
        <w:jc w:val="center"/>
        <w:rPr>
          <w:b/>
          <w:bCs/>
          <w:sz w:val="32"/>
          <w:szCs w:val="32"/>
        </w:rPr>
      </w:pPr>
      <w:r>
        <w:rPr>
          <w:b/>
          <w:bCs/>
          <w:sz w:val="32"/>
          <w:szCs w:val="32"/>
        </w:rPr>
        <w:t>ОТЧЕТ ЭМИТЕНТА ЭМИССИОННЫХ ЦЕННЫХ БУМАГ</w:t>
      </w:r>
    </w:p>
    <w:p w:rsidR="00A02ECF" w:rsidRDefault="006104A2">
      <w:pPr>
        <w:spacing w:before="600"/>
        <w:jc w:val="center"/>
        <w:rPr>
          <w:b/>
          <w:bCs/>
          <w:i/>
          <w:iCs/>
          <w:sz w:val="32"/>
          <w:szCs w:val="32"/>
        </w:rPr>
      </w:pPr>
      <w:r>
        <w:rPr>
          <w:b/>
          <w:bCs/>
          <w:i/>
          <w:iCs/>
          <w:sz w:val="32"/>
          <w:szCs w:val="32"/>
        </w:rPr>
        <w:t>Публичное акционерное общество «Газпром»</w:t>
      </w:r>
    </w:p>
    <w:p w:rsidR="00A02ECF" w:rsidRDefault="006104A2">
      <w:pPr>
        <w:spacing w:before="120"/>
        <w:jc w:val="center"/>
        <w:rPr>
          <w:b/>
          <w:bCs/>
          <w:i/>
          <w:iCs/>
          <w:sz w:val="28"/>
          <w:szCs w:val="28"/>
        </w:rPr>
      </w:pPr>
      <w:r>
        <w:rPr>
          <w:b/>
          <w:bCs/>
          <w:i/>
          <w:iCs/>
          <w:sz w:val="28"/>
          <w:szCs w:val="28"/>
        </w:rPr>
        <w:t>Код эмитента: 00028-A</w:t>
      </w:r>
    </w:p>
    <w:p w:rsidR="00A02ECF" w:rsidRDefault="006104A2">
      <w:pPr>
        <w:spacing w:before="360"/>
        <w:jc w:val="center"/>
        <w:rPr>
          <w:b/>
          <w:bCs/>
          <w:sz w:val="32"/>
          <w:szCs w:val="32"/>
        </w:rPr>
      </w:pPr>
      <w:r>
        <w:rPr>
          <w:b/>
          <w:bCs/>
          <w:sz w:val="32"/>
          <w:szCs w:val="32"/>
        </w:rPr>
        <w:t>за 12 месяцев 2025 г.</w:t>
      </w:r>
    </w:p>
    <w:p w:rsidR="00A02ECF" w:rsidRDefault="006104A2">
      <w:pPr>
        <w:spacing w:before="600" w:after="360"/>
        <w:jc w:val="center"/>
        <w:rPr>
          <w:b/>
          <w:bCs/>
          <w:sz w:val="24"/>
          <w:szCs w:val="24"/>
        </w:rPr>
      </w:pPr>
      <w:r>
        <w:rPr>
          <w:b/>
          <w:bCs/>
          <w:sz w:val="24"/>
          <w:szCs w:val="24"/>
        </w:rPr>
        <w:t>Информация, содержащаяся в настоящем отчете эмитента, подлежит раскрытию в соответствии с законодательством Российской Федерации о ценных бумагах</w:t>
      </w:r>
    </w:p>
    <w:p w:rsidR="00A02ECF" w:rsidRDefault="00A02ECF"/>
    <w:tbl>
      <w:tblPr>
        <w:tblW w:w="0" w:type="auto"/>
        <w:tblLayout w:type="fixed"/>
        <w:tblCellMar>
          <w:left w:w="72" w:type="dxa"/>
          <w:right w:w="72" w:type="dxa"/>
        </w:tblCellMar>
        <w:tblLook w:val="04A0" w:firstRow="1" w:lastRow="0" w:firstColumn="1" w:lastColumn="0" w:noHBand="0" w:noVBand="1"/>
      </w:tblPr>
      <w:tblGrid>
        <w:gridCol w:w="1892"/>
        <w:gridCol w:w="7360"/>
        <w:gridCol w:w="164"/>
      </w:tblGrid>
      <w:tr w:rsidR="00A02ECF">
        <w:trPr>
          <w:gridAfter w:val="1"/>
          <w:wAfter w:w="164" w:type="dxa"/>
        </w:trPr>
        <w:tc>
          <w:tcPr>
            <w:tcW w:w="1892" w:type="dxa"/>
            <w:tcBorders>
              <w:top w:val="single" w:sz="6" w:space="0" w:color="000000"/>
              <w:left w:val="single" w:sz="6" w:space="0" w:color="000000"/>
              <w:bottom w:val="none" w:sz="4" w:space="0" w:color="000000"/>
              <w:right w:val="none" w:sz="4" w:space="0" w:color="000000"/>
            </w:tcBorders>
          </w:tcPr>
          <w:p w:rsidR="00A02ECF" w:rsidRDefault="006104A2">
            <w:r>
              <w:t>Адрес эмитента</w:t>
            </w:r>
          </w:p>
        </w:tc>
        <w:tc>
          <w:tcPr>
            <w:tcW w:w="7360" w:type="dxa"/>
            <w:tcBorders>
              <w:top w:val="single" w:sz="6" w:space="0" w:color="000000"/>
              <w:left w:val="none" w:sz="4" w:space="0" w:color="000000"/>
              <w:bottom w:val="none" w:sz="4" w:space="0" w:color="000000"/>
              <w:right w:val="single" w:sz="6" w:space="0" w:color="000000"/>
            </w:tcBorders>
          </w:tcPr>
          <w:p w:rsidR="00A02ECF" w:rsidRDefault="006104A2">
            <w:pPr>
              <w:rPr>
                <w:b/>
                <w:bCs/>
              </w:rPr>
            </w:pPr>
            <w:r>
              <w:rPr>
                <w:b/>
                <w:bCs/>
              </w:rPr>
              <w:t>197229, г. Санкт-Петербург, вн. тер. г. муниципальный округ Лахта-Ольгино, пр-кт Лахтинский, д. 2, к. 3, стр. 1</w:t>
            </w:r>
          </w:p>
        </w:tc>
      </w:tr>
      <w:tr w:rsidR="00A02ECF">
        <w:tc>
          <w:tcPr>
            <w:tcW w:w="1892" w:type="dxa"/>
            <w:tcBorders>
              <w:top w:val="none" w:sz="4" w:space="0" w:color="000000"/>
              <w:left w:val="single" w:sz="6" w:space="0" w:color="000000"/>
              <w:bottom w:val="single" w:sz="6" w:space="0" w:color="000000"/>
              <w:right w:val="none" w:sz="4" w:space="0" w:color="000000"/>
            </w:tcBorders>
          </w:tcPr>
          <w:p w:rsidR="00A02ECF" w:rsidRDefault="006104A2">
            <w:r>
              <w:t>Контактное лицо эмитента</w:t>
            </w:r>
          </w:p>
        </w:tc>
        <w:tc>
          <w:tcPr>
            <w:tcW w:w="7360" w:type="dxa"/>
            <w:tcBorders>
              <w:top w:val="none" w:sz="4" w:space="0" w:color="000000"/>
              <w:left w:val="none" w:sz="4" w:space="0" w:color="000000"/>
              <w:bottom w:val="single" w:sz="6" w:space="0" w:color="000000"/>
              <w:right w:val="single" w:sz="6" w:space="0" w:color="000000"/>
            </w:tcBorders>
          </w:tcPr>
          <w:p w:rsidR="00A02ECF" w:rsidRDefault="006104A2">
            <w:r>
              <w:rPr>
                <w:b/>
                <w:bCs/>
              </w:rPr>
              <w:t>Начальник отдела, Тройников Иван Владимирович</w:t>
            </w:r>
          </w:p>
          <w:p w:rsidR="00A02ECF" w:rsidRDefault="006104A2">
            <w:r>
              <w:t>Телефон:</w:t>
            </w:r>
            <w:r>
              <w:rPr>
                <w:b/>
                <w:bCs/>
              </w:rPr>
              <w:t xml:space="preserve"> (812) 729-31-24</w:t>
            </w:r>
          </w:p>
          <w:p w:rsidR="00A02ECF" w:rsidRDefault="006104A2">
            <w:pPr>
              <w:rPr>
                <w:b/>
                <w:bCs/>
              </w:rPr>
            </w:pPr>
            <w:r>
              <w:t>Адрес электронной почты:</w:t>
            </w:r>
            <w:r>
              <w:rPr>
                <w:b/>
                <w:bCs/>
              </w:rPr>
              <w:t xml:space="preserve"> </w:t>
            </w:r>
            <w:r>
              <w:rPr>
                <w:b/>
                <w:bCs/>
                <w:lang w:val="en-US"/>
              </w:rPr>
              <w:t>I</w:t>
            </w:r>
            <w:r>
              <w:rPr>
                <w:b/>
                <w:bCs/>
              </w:rPr>
              <w:t>.</w:t>
            </w:r>
            <w:r>
              <w:rPr>
                <w:b/>
                <w:bCs/>
                <w:lang w:val="en-US"/>
              </w:rPr>
              <w:t>Troynikov</w:t>
            </w:r>
            <w:r>
              <w:rPr>
                <w:b/>
                <w:bCs/>
              </w:rPr>
              <w:t>@adm.gazprom.ru</w:t>
            </w:r>
          </w:p>
        </w:tc>
        <w:tc>
          <w:tcPr>
            <w:tcW w:w="144" w:type="dxa"/>
          </w:tcPr>
          <w:p w:rsidR="00A02ECF" w:rsidRDefault="00A02ECF"/>
        </w:tc>
      </w:tr>
    </w:tbl>
    <w:p w:rsidR="00A02ECF" w:rsidRDefault="00A02ECF"/>
    <w:tbl>
      <w:tblPr>
        <w:tblW w:w="0" w:type="auto"/>
        <w:tblLayout w:type="fixed"/>
        <w:tblCellMar>
          <w:left w:w="72" w:type="dxa"/>
          <w:right w:w="72" w:type="dxa"/>
        </w:tblCellMar>
        <w:tblLook w:val="04A0" w:firstRow="1" w:lastRow="0" w:firstColumn="1" w:lastColumn="0" w:noHBand="0" w:noVBand="1"/>
      </w:tblPr>
      <w:tblGrid>
        <w:gridCol w:w="1892"/>
        <w:gridCol w:w="7360"/>
      </w:tblGrid>
      <w:tr w:rsidR="00A02ECF">
        <w:tc>
          <w:tcPr>
            <w:tcW w:w="1892" w:type="dxa"/>
            <w:tcBorders>
              <w:top w:val="single" w:sz="6" w:space="0" w:color="000000"/>
              <w:left w:val="single" w:sz="6" w:space="0" w:color="000000"/>
              <w:bottom w:val="single" w:sz="6" w:space="0" w:color="000000"/>
              <w:right w:val="none" w:sz="4" w:space="0" w:color="000000"/>
            </w:tcBorders>
          </w:tcPr>
          <w:p w:rsidR="00A02ECF" w:rsidRDefault="006104A2">
            <w:r>
              <w:t>Адрес страницы в сети Интернет</w:t>
            </w:r>
          </w:p>
        </w:tc>
        <w:tc>
          <w:tcPr>
            <w:tcW w:w="7360" w:type="dxa"/>
            <w:tcBorders>
              <w:top w:val="single" w:sz="6" w:space="0" w:color="000000"/>
              <w:left w:val="none" w:sz="4" w:space="0" w:color="000000"/>
              <w:bottom w:val="single" w:sz="6" w:space="0" w:color="000000"/>
              <w:right w:val="single" w:sz="6" w:space="0" w:color="000000"/>
            </w:tcBorders>
          </w:tcPr>
          <w:p w:rsidR="00A02ECF" w:rsidRDefault="006104A2">
            <w:pPr>
              <w:rPr>
                <w:b/>
                <w:bCs/>
              </w:rPr>
            </w:pPr>
            <w:r>
              <w:rPr>
                <w:b/>
                <w:bCs/>
              </w:rPr>
              <w:t>www.e-disclosure.ru/PORTAL/company.aspx?id=934, www.gazprom.ru</w:t>
            </w:r>
          </w:p>
        </w:tc>
      </w:tr>
    </w:tbl>
    <w:p w:rsidR="00A02ECF" w:rsidRDefault="00A02ECF"/>
    <w:tbl>
      <w:tblPr>
        <w:tblW w:w="9252" w:type="dxa"/>
        <w:tblLayout w:type="fixed"/>
        <w:tblCellMar>
          <w:left w:w="72" w:type="dxa"/>
          <w:right w:w="72" w:type="dxa"/>
        </w:tblCellMar>
        <w:tblLook w:val="04A0" w:firstRow="1" w:lastRow="0" w:firstColumn="1" w:lastColumn="0" w:noHBand="0" w:noVBand="1"/>
      </w:tblPr>
      <w:tblGrid>
        <w:gridCol w:w="5572"/>
        <w:gridCol w:w="3680"/>
      </w:tblGrid>
      <w:tr w:rsidR="00A02ECF">
        <w:tc>
          <w:tcPr>
            <w:tcW w:w="5572" w:type="dxa"/>
            <w:tcBorders>
              <w:top w:val="single" w:sz="6" w:space="0" w:color="000000"/>
              <w:left w:val="single" w:sz="6" w:space="0" w:color="000000"/>
              <w:bottom w:val="single" w:sz="6" w:space="0" w:color="000000"/>
              <w:right w:val="none" w:sz="4" w:space="0" w:color="000000"/>
            </w:tcBorders>
          </w:tcPr>
          <w:p w:rsidR="00674988" w:rsidRDefault="004C7E82" w:rsidP="00FA444A">
            <w:pPr>
              <w:spacing w:before="0" w:after="0"/>
            </w:pPr>
            <w:r w:rsidRPr="004C7E82">
              <w:t>Временно исполняющий обязанности</w:t>
            </w:r>
            <w:r>
              <w:t xml:space="preserve"> </w:t>
            </w:r>
          </w:p>
          <w:p w:rsidR="00A02ECF" w:rsidRDefault="006104A2" w:rsidP="00FA444A">
            <w:pPr>
              <w:spacing w:before="0" w:after="0"/>
            </w:pPr>
            <w:r w:rsidRPr="004C7E82">
              <w:t>Председател</w:t>
            </w:r>
            <w:r w:rsidR="004C7E82" w:rsidRPr="004C7E82">
              <w:t>я</w:t>
            </w:r>
            <w:r>
              <w:t xml:space="preserve"> Правления</w:t>
            </w:r>
          </w:p>
          <w:p w:rsidR="00A02ECF" w:rsidRDefault="006104A2" w:rsidP="00FA444A">
            <w:pPr>
              <w:spacing w:before="0" w:after="0"/>
            </w:pPr>
            <w:r>
              <w:t>Дата: «</w:t>
            </w:r>
            <w:r w:rsidR="00337787" w:rsidRPr="004C7E82">
              <w:t>29</w:t>
            </w:r>
            <w:r>
              <w:t>» мая 2026 г.</w:t>
            </w:r>
          </w:p>
          <w:p w:rsidR="00A02ECF" w:rsidRDefault="00A02ECF" w:rsidP="00FA444A">
            <w:pPr>
              <w:spacing w:before="0" w:after="0"/>
            </w:pPr>
          </w:p>
          <w:p w:rsidR="00A02ECF" w:rsidRDefault="006104A2" w:rsidP="00FA444A">
            <w:pPr>
              <w:spacing w:before="0" w:after="0"/>
            </w:pPr>
            <w:r>
              <w:t>заместитель Председателя Правления - главный бухгалтер ПАО «Газпром»</w:t>
            </w:r>
          </w:p>
          <w:p w:rsidR="00A02ECF" w:rsidRDefault="006104A2" w:rsidP="00FA444A">
            <w:pPr>
              <w:spacing w:before="0" w:after="0"/>
            </w:pPr>
            <w:r>
              <w:t>Дата: «</w:t>
            </w:r>
            <w:r w:rsidR="00337787">
              <w:t>27</w:t>
            </w:r>
            <w:r>
              <w:t>» мая 2026 г.</w:t>
            </w:r>
          </w:p>
        </w:tc>
        <w:tc>
          <w:tcPr>
            <w:tcW w:w="3680" w:type="dxa"/>
            <w:tcBorders>
              <w:top w:val="single" w:sz="6" w:space="0" w:color="000000"/>
              <w:left w:val="none" w:sz="4" w:space="0" w:color="000000"/>
              <w:bottom w:val="single" w:sz="6" w:space="0" w:color="000000"/>
              <w:right w:val="single" w:sz="6" w:space="0" w:color="000000"/>
            </w:tcBorders>
          </w:tcPr>
          <w:p w:rsidR="00674988" w:rsidRPr="00FA444A" w:rsidRDefault="00674988" w:rsidP="00FA444A">
            <w:pPr>
              <w:spacing w:before="0" w:after="0"/>
            </w:pPr>
          </w:p>
          <w:p w:rsidR="00A02ECF" w:rsidRDefault="006104A2" w:rsidP="00FA444A">
            <w:pPr>
              <w:spacing w:before="0" w:after="0"/>
            </w:pPr>
            <w:r w:rsidRPr="004C7E82">
              <w:t xml:space="preserve">____________ </w:t>
            </w:r>
            <w:r w:rsidR="004C7E82" w:rsidRPr="004C7E82">
              <w:t>М</w:t>
            </w:r>
            <w:r w:rsidRPr="004C7E82">
              <w:t>.</w:t>
            </w:r>
            <w:r w:rsidR="004C7E82" w:rsidRPr="004C7E82">
              <w:t>Н</w:t>
            </w:r>
            <w:r w:rsidRPr="004C7E82">
              <w:t xml:space="preserve">. </w:t>
            </w:r>
            <w:r w:rsidR="004C7E82" w:rsidRPr="004C7E82">
              <w:t>Россеев</w:t>
            </w:r>
            <w:r>
              <w:br w:type="textWrapping" w:clear="all"/>
              <w:t xml:space="preserve">    подпись</w:t>
            </w:r>
          </w:p>
          <w:p w:rsidR="00A02ECF" w:rsidRDefault="00A02ECF" w:rsidP="00FA444A">
            <w:pPr>
              <w:spacing w:before="0" w:after="0"/>
            </w:pPr>
          </w:p>
          <w:p w:rsidR="00FA444A" w:rsidRDefault="00FA444A" w:rsidP="00FA444A">
            <w:pPr>
              <w:spacing w:before="0" w:after="0"/>
            </w:pPr>
          </w:p>
          <w:p w:rsidR="00A02ECF" w:rsidRDefault="006104A2" w:rsidP="00FA444A">
            <w:pPr>
              <w:spacing w:before="0" w:after="0"/>
            </w:pPr>
            <w:bookmarkStart w:id="0" w:name="_GoBack"/>
            <w:bookmarkEnd w:id="0"/>
            <w:r>
              <w:t>____________ М.Н. Россеев</w:t>
            </w:r>
          </w:p>
          <w:p w:rsidR="00A02ECF" w:rsidRDefault="006104A2" w:rsidP="00FA444A">
            <w:pPr>
              <w:spacing w:before="0" w:after="0"/>
            </w:pPr>
            <w:r>
              <w:t xml:space="preserve">    подпись</w:t>
            </w:r>
          </w:p>
        </w:tc>
      </w:tr>
    </w:tbl>
    <w:p w:rsidR="00A02ECF" w:rsidRDefault="00A02ECF" w:rsidP="00FA444A">
      <w:pPr>
        <w:spacing w:before="0" w:after="0"/>
      </w:pPr>
    </w:p>
    <w:p w:rsidR="00A02ECF" w:rsidRDefault="00A02ECF"/>
    <w:p w:rsidR="00A02ECF" w:rsidRDefault="006104A2">
      <w:pPr>
        <w:pStyle w:val="1"/>
        <w:rPr>
          <w:color w:val="000000"/>
        </w:rPr>
      </w:pPr>
      <w:r>
        <w:rPr>
          <w:color w:val="000000"/>
        </w:rPr>
        <w:br w:type="page" w:clear="all"/>
      </w:r>
      <w:bookmarkStart w:id="1" w:name="_Toc230104288"/>
      <w:r>
        <w:rPr>
          <w:color w:val="000000"/>
        </w:rPr>
        <w:lastRenderedPageBreak/>
        <w:t>Оглавление</w:t>
      </w:r>
      <w:bookmarkEnd w:id="1"/>
    </w:p>
    <w:p w:rsidR="00A02ECF" w:rsidRDefault="006104A2">
      <w:pPr>
        <w:pStyle w:val="13"/>
        <w:tabs>
          <w:tab w:val="right" w:leader="dot" w:pos="9204"/>
        </w:tabs>
        <w:rPr>
          <w:rFonts w:asciiTheme="minorHAnsi" w:eastAsiaTheme="minorEastAsia" w:hAnsiTheme="minorHAnsi" w:cstheme="minorBidi"/>
          <w:noProof/>
          <w:sz w:val="24"/>
          <w:szCs w:val="24"/>
          <w14:ligatures w14:val="standardContextual"/>
        </w:rPr>
      </w:pPr>
      <w:r>
        <w:rPr>
          <w:color w:val="000000"/>
        </w:rPr>
        <w:fldChar w:fldCharType="begin"/>
      </w:r>
      <w:r>
        <w:rPr>
          <w:color w:val="000000"/>
        </w:rPr>
        <w:instrText>TOC</w:instrText>
      </w:r>
      <w:r>
        <w:rPr>
          <w:color w:val="000000"/>
        </w:rPr>
        <w:fldChar w:fldCharType="separate"/>
      </w:r>
      <w:r>
        <w:rPr>
          <w:noProof/>
          <w:color w:val="000000"/>
        </w:rPr>
        <w:t>Оглавление</w:t>
      </w:r>
      <w:r>
        <w:rPr>
          <w:noProof/>
        </w:rPr>
        <w:tab/>
      </w:r>
      <w:r>
        <w:rPr>
          <w:noProof/>
        </w:rPr>
        <w:fldChar w:fldCharType="begin"/>
      </w:r>
      <w:r>
        <w:rPr>
          <w:noProof/>
        </w:rPr>
        <w:instrText xml:space="preserve"> PAGEREF _Toc230104288 \h </w:instrText>
      </w:r>
      <w:r>
        <w:rPr>
          <w:noProof/>
        </w:rPr>
      </w:r>
      <w:r>
        <w:rPr>
          <w:noProof/>
        </w:rPr>
        <w:fldChar w:fldCharType="separate"/>
      </w:r>
      <w:r w:rsidR="000C3A8C">
        <w:rPr>
          <w:noProof/>
        </w:rPr>
        <w:t>2</w:t>
      </w:r>
      <w:r>
        <w:rPr>
          <w:noProof/>
        </w:rPr>
        <w:fldChar w:fldCharType="end"/>
      </w:r>
    </w:p>
    <w:p w:rsidR="00A02ECF" w:rsidRDefault="006104A2">
      <w:pPr>
        <w:pStyle w:val="13"/>
        <w:tabs>
          <w:tab w:val="right" w:leader="dot" w:pos="9204"/>
        </w:tabs>
        <w:rPr>
          <w:rFonts w:asciiTheme="minorHAnsi" w:eastAsiaTheme="minorEastAsia" w:hAnsiTheme="minorHAnsi" w:cstheme="minorBidi"/>
          <w:noProof/>
          <w:sz w:val="24"/>
          <w:szCs w:val="24"/>
          <w14:ligatures w14:val="standardContextual"/>
        </w:rPr>
      </w:pPr>
      <w:r>
        <w:rPr>
          <w:noProof/>
          <w:color w:val="000000"/>
        </w:rPr>
        <w:t>Введение</w:t>
      </w:r>
      <w:r>
        <w:rPr>
          <w:noProof/>
        </w:rPr>
        <w:tab/>
      </w:r>
      <w:r>
        <w:rPr>
          <w:noProof/>
        </w:rPr>
        <w:fldChar w:fldCharType="begin"/>
      </w:r>
      <w:r>
        <w:rPr>
          <w:noProof/>
        </w:rPr>
        <w:instrText xml:space="preserve"> PAGEREF _Toc230104289 \h </w:instrText>
      </w:r>
      <w:r>
        <w:rPr>
          <w:noProof/>
        </w:rPr>
      </w:r>
      <w:r>
        <w:rPr>
          <w:noProof/>
        </w:rPr>
        <w:fldChar w:fldCharType="separate"/>
      </w:r>
      <w:r w:rsidR="000C3A8C">
        <w:rPr>
          <w:noProof/>
        </w:rPr>
        <w:t>4</w:t>
      </w:r>
      <w:r>
        <w:rPr>
          <w:noProof/>
        </w:rPr>
        <w:fldChar w:fldCharType="end"/>
      </w:r>
    </w:p>
    <w:p w:rsidR="00A02ECF" w:rsidRDefault="006104A2">
      <w:pPr>
        <w:pStyle w:val="13"/>
        <w:tabs>
          <w:tab w:val="right" w:leader="dot" w:pos="9204"/>
        </w:tabs>
        <w:rPr>
          <w:rFonts w:asciiTheme="minorHAnsi" w:eastAsiaTheme="minorEastAsia" w:hAnsiTheme="minorHAnsi" w:cstheme="minorBidi"/>
          <w:noProof/>
          <w:sz w:val="24"/>
          <w:szCs w:val="24"/>
          <w14:ligatures w14:val="standardContextual"/>
        </w:rPr>
      </w:pPr>
      <w:r>
        <w:rPr>
          <w:noProof/>
          <w:color w:val="000000"/>
        </w:rPr>
        <w:t>Раздел 1. Управленческий отчет эмитента</w:t>
      </w:r>
      <w:r>
        <w:rPr>
          <w:noProof/>
        </w:rPr>
        <w:tab/>
      </w:r>
      <w:r>
        <w:rPr>
          <w:noProof/>
        </w:rPr>
        <w:fldChar w:fldCharType="begin"/>
      </w:r>
      <w:r>
        <w:rPr>
          <w:noProof/>
        </w:rPr>
        <w:instrText xml:space="preserve"> PAGEREF _Toc230104290 \h </w:instrText>
      </w:r>
      <w:r>
        <w:rPr>
          <w:noProof/>
        </w:rPr>
      </w:r>
      <w:r>
        <w:rPr>
          <w:noProof/>
        </w:rPr>
        <w:fldChar w:fldCharType="separate"/>
      </w:r>
      <w:r w:rsidR="000C3A8C">
        <w:rPr>
          <w:noProof/>
        </w:rPr>
        <w:t>5</w:t>
      </w:r>
      <w:r>
        <w:rPr>
          <w:noProof/>
        </w:rPr>
        <w:fldChar w:fldCharType="end"/>
      </w:r>
    </w:p>
    <w:p w:rsidR="00A02ECF" w:rsidRDefault="006104A2">
      <w:pPr>
        <w:pStyle w:val="24"/>
        <w:tabs>
          <w:tab w:val="right" w:leader="dot" w:pos="9204"/>
        </w:tabs>
        <w:rPr>
          <w:rFonts w:asciiTheme="minorHAnsi" w:eastAsiaTheme="minorEastAsia" w:hAnsiTheme="minorHAnsi" w:cstheme="minorBidi"/>
          <w:noProof/>
          <w:sz w:val="24"/>
          <w:szCs w:val="24"/>
          <w14:ligatures w14:val="standardContextual"/>
        </w:rPr>
      </w:pPr>
      <w:r>
        <w:rPr>
          <w:noProof/>
          <w:color w:val="000000"/>
        </w:rPr>
        <w:t>1.1. Общие сведения об эмитенте и его деятельности</w:t>
      </w:r>
      <w:r>
        <w:rPr>
          <w:noProof/>
        </w:rPr>
        <w:tab/>
      </w:r>
      <w:r>
        <w:rPr>
          <w:noProof/>
        </w:rPr>
        <w:fldChar w:fldCharType="begin"/>
      </w:r>
      <w:r>
        <w:rPr>
          <w:noProof/>
        </w:rPr>
        <w:instrText xml:space="preserve"> PAGEREF _Toc230104291 \h </w:instrText>
      </w:r>
      <w:r>
        <w:rPr>
          <w:noProof/>
        </w:rPr>
      </w:r>
      <w:r>
        <w:rPr>
          <w:noProof/>
        </w:rPr>
        <w:fldChar w:fldCharType="separate"/>
      </w:r>
      <w:r w:rsidR="000C3A8C">
        <w:rPr>
          <w:noProof/>
        </w:rPr>
        <w:t>5</w:t>
      </w:r>
      <w:r>
        <w:rPr>
          <w:noProof/>
        </w:rPr>
        <w:fldChar w:fldCharType="end"/>
      </w:r>
    </w:p>
    <w:p w:rsidR="00A02ECF" w:rsidRDefault="006104A2">
      <w:pPr>
        <w:pStyle w:val="24"/>
        <w:tabs>
          <w:tab w:val="right" w:leader="dot" w:pos="9204"/>
        </w:tabs>
        <w:rPr>
          <w:rFonts w:asciiTheme="minorHAnsi" w:eastAsiaTheme="minorEastAsia" w:hAnsiTheme="minorHAnsi" w:cstheme="minorBidi"/>
          <w:noProof/>
          <w:sz w:val="24"/>
          <w:szCs w:val="24"/>
          <w14:ligatures w14:val="standardContextual"/>
        </w:rPr>
      </w:pPr>
      <w:r>
        <w:rPr>
          <w:noProof/>
          <w:color w:val="000000"/>
        </w:rPr>
        <w:t>1.2. Сведения о положении эмитента в отрасли</w:t>
      </w:r>
      <w:r>
        <w:rPr>
          <w:noProof/>
        </w:rPr>
        <w:tab/>
      </w:r>
      <w:r>
        <w:rPr>
          <w:noProof/>
        </w:rPr>
        <w:fldChar w:fldCharType="begin"/>
      </w:r>
      <w:r>
        <w:rPr>
          <w:noProof/>
        </w:rPr>
        <w:instrText xml:space="preserve"> PAGEREF _Toc230104292 \h </w:instrText>
      </w:r>
      <w:r>
        <w:rPr>
          <w:noProof/>
        </w:rPr>
      </w:r>
      <w:r>
        <w:rPr>
          <w:noProof/>
        </w:rPr>
        <w:fldChar w:fldCharType="separate"/>
      </w:r>
      <w:r w:rsidR="000C3A8C">
        <w:rPr>
          <w:noProof/>
        </w:rPr>
        <w:t>7</w:t>
      </w:r>
      <w:r>
        <w:rPr>
          <w:noProof/>
        </w:rPr>
        <w:fldChar w:fldCharType="end"/>
      </w:r>
    </w:p>
    <w:p w:rsidR="00A02ECF" w:rsidRDefault="006104A2">
      <w:pPr>
        <w:pStyle w:val="24"/>
        <w:tabs>
          <w:tab w:val="right" w:leader="dot" w:pos="9204"/>
        </w:tabs>
        <w:rPr>
          <w:rFonts w:asciiTheme="minorHAnsi" w:eastAsiaTheme="minorEastAsia" w:hAnsiTheme="minorHAnsi" w:cstheme="minorBidi"/>
          <w:noProof/>
          <w:sz w:val="24"/>
          <w:szCs w:val="24"/>
          <w14:ligatures w14:val="standardContextual"/>
        </w:rPr>
      </w:pPr>
      <w:r>
        <w:rPr>
          <w:noProof/>
          <w:color w:val="000000"/>
        </w:rPr>
        <w:t>1.3. Основные операционные показатели, характеризующие деятельность эмитента</w:t>
      </w:r>
      <w:r>
        <w:rPr>
          <w:noProof/>
        </w:rPr>
        <w:tab/>
      </w:r>
      <w:r>
        <w:rPr>
          <w:noProof/>
        </w:rPr>
        <w:fldChar w:fldCharType="begin"/>
      </w:r>
      <w:r>
        <w:rPr>
          <w:noProof/>
        </w:rPr>
        <w:instrText xml:space="preserve"> PAGEREF _Toc230104293 \h </w:instrText>
      </w:r>
      <w:r>
        <w:rPr>
          <w:noProof/>
        </w:rPr>
      </w:r>
      <w:r>
        <w:rPr>
          <w:noProof/>
        </w:rPr>
        <w:fldChar w:fldCharType="separate"/>
      </w:r>
      <w:r w:rsidR="000C3A8C">
        <w:rPr>
          <w:noProof/>
        </w:rPr>
        <w:t>20</w:t>
      </w:r>
      <w:r>
        <w:rPr>
          <w:noProof/>
        </w:rPr>
        <w:fldChar w:fldCharType="end"/>
      </w:r>
    </w:p>
    <w:p w:rsidR="00A02ECF" w:rsidRDefault="006104A2">
      <w:pPr>
        <w:pStyle w:val="24"/>
        <w:tabs>
          <w:tab w:val="right" w:leader="dot" w:pos="9204"/>
        </w:tabs>
        <w:rPr>
          <w:rFonts w:asciiTheme="minorHAnsi" w:eastAsiaTheme="minorEastAsia" w:hAnsiTheme="minorHAnsi" w:cstheme="minorBidi"/>
          <w:noProof/>
          <w:sz w:val="24"/>
          <w:szCs w:val="24"/>
          <w14:ligatures w14:val="standardContextual"/>
        </w:rPr>
      </w:pPr>
      <w:r>
        <w:rPr>
          <w:noProof/>
          <w:color w:val="000000"/>
        </w:rPr>
        <w:t>1.4. Основные финансовые показатели эмитента</w:t>
      </w:r>
      <w:r>
        <w:rPr>
          <w:noProof/>
        </w:rPr>
        <w:tab/>
      </w:r>
      <w:r>
        <w:rPr>
          <w:noProof/>
        </w:rPr>
        <w:fldChar w:fldCharType="begin"/>
      </w:r>
      <w:r>
        <w:rPr>
          <w:noProof/>
        </w:rPr>
        <w:instrText xml:space="preserve"> PAGEREF _Toc230104294 \h </w:instrText>
      </w:r>
      <w:r>
        <w:rPr>
          <w:noProof/>
        </w:rPr>
      </w:r>
      <w:r>
        <w:rPr>
          <w:noProof/>
        </w:rPr>
        <w:fldChar w:fldCharType="separate"/>
      </w:r>
      <w:r w:rsidR="000C3A8C">
        <w:rPr>
          <w:noProof/>
        </w:rPr>
        <w:t>26</w:t>
      </w:r>
      <w:r>
        <w:rPr>
          <w:noProof/>
        </w:rPr>
        <w:fldChar w:fldCharType="end"/>
      </w:r>
    </w:p>
    <w:p w:rsidR="00A02ECF" w:rsidRDefault="006104A2">
      <w:pPr>
        <w:pStyle w:val="24"/>
        <w:tabs>
          <w:tab w:val="right" w:leader="dot" w:pos="9204"/>
        </w:tabs>
        <w:rPr>
          <w:rFonts w:asciiTheme="minorHAnsi" w:eastAsiaTheme="minorEastAsia" w:hAnsiTheme="minorHAnsi" w:cstheme="minorBidi"/>
          <w:noProof/>
          <w:sz w:val="24"/>
          <w:szCs w:val="24"/>
          <w14:ligatures w14:val="standardContextual"/>
        </w:rPr>
      </w:pPr>
      <w:r>
        <w:rPr>
          <w:noProof/>
          <w:color w:val="000000"/>
        </w:rPr>
        <w:t>1.4.1. Финансовые показатели, рассчитываемые на основе консолидированной финансовой отчетности (финансовой отчетности)</w:t>
      </w:r>
      <w:r>
        <w:rPr>
          <w:noProof/>
        </w:rPr>
        <w:tab/>
      </w:r>
      <w:r>
        <w:rPr>
          <w:noProof/>
        </w:rPr>
        <w:fldChar w:fldCharType="begin"/>
      </w:r>
      <w:r>
        <w:rPr>
          <w:noProof/>
        </w:rPr>
        <w:instrText xml:space="preserve"> PAGEREF _Toc230104295 \h </w:instrText>
      </w:r>
      <w:r>
        <w:rPr>
          <w:noProof/>
        </w:rPr>
      </w:r>
      <w:r>
        <w:rPr>
          <w:noProof/>
        </w:rPr>
        <w:fldChar w:fldCharType="separate"/>
      </w:r>
      <w:r w:rsidR="000C3A8C">
        <w:rPr>
          <w:noProof/>
        </w:rPr>
        <w:t>26</w:t>
      </w:r>
      <w:r>
        <w:rPr>
          <w:noProof/>
        </w:rPr>
        <w:fldChar w:fldCharType="end"/>
      </w:r>
    </w:p>
    <w:p w:rsidR="00A02ECF" w:rsidRDefault="006104A2">
      <w:pPr>
        <w:pStyle w:val="24"/>
        <w:tabs>
          <w:tab w:val="right" w:leader="dot" w:pos="9204"/>
        </w:tabs>
        <w:rPr>
          <w:rFonts w:asciiTheme="minorHAnsi" w:eastAsiaTheme="minorEastAsia" w:hAnsiTheme="minorHAnsi" w:cstheme="minorBidi"/>
          <w:noProof/>
          <w:sz w:val="24"/>
          <w:szCs w:val="24"/>
          <w14:ligatures w14:val="standardContextual"/>
        </w:rPr>
      </w:pPr>
      <w:r>
        <w:rPr>
          <w:noProof/>
          <w:color w:val="000000"/>
        </w:rPr>
        <w:t>1.4.2. Финансовые показатели, рассчитываемые на основе бухгалтерской (финансовой) отчетности</w:t>
      </w:r>
      <w:r>
        <w:rPr>
          <w:noProof/>
        </w:rPr>
        <w:tab/>
      </w:r>
      <w:r>
        <w:rPr>
          <w:noProof/>
        </w:rPr>
        <w:fldChar w:fldCharType="begin"/>
      </w:r>
      <w:r>
        <w:rPr>
          <w:noProof/>
        </w:rPr>
        <w:instrText xml:space="preserve"> PAGEREF _Toc230104296 \h </w:instrText>
      </w:r>
      <w:r>
        <w:rPr>
          <w:noProof/>
        </w:rPr>
      </w:r>
      <w:r>
        <w:rPr>
          <w:noProof/>
        </w:rPr>
        <w:fldChar w:fldCharType="separate"/>
      </w:r>
      <w:r w:rsidR="000C3A8C">
        <w:rPr>
          <w:noProof/>
        </w:rPr>
        <w:t>29</w:t>
      </w:r>
      <w:r>
        <w:rPr>
          <w:noProof/>
        </w:rPr>
        <w:fldChar w:fldCharType="end"/>
      </w:r>
    </w:p>
    <w:p w:rsidR="00A02ECF" w:rsidRDefault="006104A2">
      <w:pPr>
        <w:pStyle w:val="24"/>
        <w:tabs>
          <w:tab w:val="right" w:leader="dot" w:pos="9204"/>
        </w:tabs>
        <w:rPr>
          <w:rFonts w:asciiTheme="minorHAnsi" w:eastAsiaTheme="minorEastAsia" w:hAnsiTheme="minorHAnsi" w:cstheme="minorBidi"/>
          <w:noProof/>
          <w:sz w:val="24"/>
          <w:szCs w:val="24"/>
          <w14:ligatures w14:val="standardContextual"/>
        </w:rPr>
      </w:pPr>
      <w:r>
        <w:rPr>
          <w:noProof/>
          <w:color w:val="000000"/>
        </w:rPr>
        <w:t>1.4.3. Финансовые показатели кредитной организации</w:t>
      </w:r>
      <w:r>
        <w:rPr>
          <w:noProof/>
        </w:rPr>
        <w:tab/>
      </w:r>
      <w:r>
        <w:rPr>
          <w:noProof/>
        </w:rPr>
        <w:fldChar w:fldCharType="begin"/>
      </w:r>
      <w:r>
        <w:rPr>
          <w:noProof/>
        </w:rPr>
        <w:instrText xml:space="preserve"> PAGEREF _Toc230104297 \h </w:instrText>
      </w:r>
      <w:r>
        <w:rPr>
          <w:noProof/>
        </w:rPr>
      </w:r>
      <w:r>
        <w:rPr>
          <w:noProof/>
        </w:rPr>
        <w:fldChar w:fldCharType="separate"/>
      </w:r>
      <w:r w:rsidR="000C3A8C">
        <w:rPr>
          <w:noProof/>
        </w:rPr>
        <w:t>29</w:t>
      </w:r>
      <w:r>
        <w:rPr>
          <w:noProof/>
        </w:rPr>
        <w:fldChar w:fldCharType="end"/>
      </w:r>
    </w:p>
    <w:p w:rsidR="00A02ECF" w:rsidRDefault="006104A2">
      <w:pPr>
        <w:pStyle w:val="24"/>
        <w:tabs>
          <w:tab w:val="right" w:leader="dot" w:pos="9204"/>
        </w:tabs>
        <w:rPr>
          <w:rFonts w:asciiTheme="minorHAnsi" w:eastAsiaTheme="minorEastAsia" w:hAnsiTheme="minorHAnsi" w:cstheme="minorBidi"/>
          <w:noProof/>
          <w:sz w:val="24"/>
          <w:szCs w:val="24"/>
          <w14:ligatures w14:val="standardContextual"/>
        </w:rPr>
      </w:pPr>
      <w:r>
        <w:rPr>
          <w:noProof/>
          <w:color w:val="000000"/>
        </w:rPr>
        <w:t>1.4.4. Иные финансовые показатели</w:t>
      </w:r>
      <w:r>
        <w:rPr>
          <w:noProof/>
        </w:rPr>
        <w:tab/>
      </w:r>
      <w:r>
        <w:rPr>
          <w:noProof/>
        </w:rPr>
        <w:fldChar w:fldCharType="begin"/>
      </w:r>
      <w:r>
        <w:rPr>
          <w:noProof/>
        </w:rPr>
        <w:instrText xml:space="preserve"> PAGEREF _Toc230104298 \h </w:instrText>
      </w:r>
      <w:r>
        <w:rPr>
          <w:noProof/>
        </w:rPr>
      </w:r>
      <w:r>
        <w:rPr>
          <w:noProof/>
        </w:rPr>
        <w:fldChar w:fldCharType="separate"/>
      </w:r>
      <w:r w:rsidR="000C3A8C">
        <w:rPr>
          <w:noProof/>
        </w:rPr>
        <w:t>29</w:t>
      </w:r>
      <w:r>
        <w:rPr>
          <w:noProof/>
        </w:rPr>
        <w:fldChar w:fldCharType="end"/>
      </w:r>
    </w:p>
    <w:p w:rsidR="00A02ECF" w:rsidRDefault="006104A2">
      <w:pPr>
        <w:pStyle w:val="24"/>
        <w:tabs>
          <w:tab w:val="right" w:leader="dot" w:pos="9204"/>
        </w:tabs>
        <w:rPr>
          <w:rFonts w:asciiTheme="minorHAnsi" w:eastAsiaTheme="minorEastAsia" w:hAnsiTheme="minorHAnsi" w:cstheme="minorBidi"/>
          <w:noProof/>
          <w:sz w:val="24"/>
          <w:szCs w:val="24"/>
          <w14:ligatures w14:val="standardContextual"/>
        </w:rPr>
      </w:pPr>
      <w:r>
        <w:rPr>
          <w:noProof/>
          <w:color w:val="000000"/>
        </w:rPr>
        <w:t>1.4.5. Анализ динамики изменения финансовых показателей, приведенных в подпунктах 1.4.1 - 1.4.4 настоящего пункта</w:t>
      </w:r>
      <w:r>
        <w:rPr>
          <w:noProof/>
        </w:rPr>
        <w:tab/>
      </w:r>
      <w:r>
        <w:rPr>
          <w:noProof/>
        </w:rPr>
        <w:fldChar w:fldCharType="begin"/>
      </w:r>
      <w:r>
        <w:rPr>
          <w:noProof/>
        </w:rPr>
        <w:instrText xml:space="preserve"> PAGEREF _Toc230104299 \h </w:instrText>
      </w:r>
      <w:r>
        <w:rPr>
          <w:noProof/>
        </w:rPr>
      </w:r>
      <w:r>
        <w:rPr>
          <w:noProof/>
        </w:rPr>
        <w:fldChar w:fldCharType="separate"/>
      </w:r>
      <w:r w:rsidR="000C3A8C">
        <w:rPr>
          <w:noProof/>
        </w:rPr>
        <w:t>29</w:t>
      </w:r>
      <w:r>
        <w:rPr>
          <w:noProof/>
        </w:rPr>
        <w:fldChar w:fldCharType="end"/>
      </w:r>
    </w:p>
    <w:p w:rsidR="00A02ECF" w:rsidRDefault="006104A2">
      <w:pPr>
        <w:pStyle w:val="24"/>
        <w:tabs>
          <w:tab w:val="right" w:leader="dot" w:pos="9204"/>
        </w:tabs>
        <w:rPr>
          <w:rFonts w:asciiTheme="minorHAnsi" w:eastAsiaTheme="minorEastAsia" w:hAnsiTheme="minorHAnsi" w:cstheme="minorBidi"/>
          <w:noProof/>
          <w:sz w:val="24"/>
          <w:szCs w:val="24"/>
          <w14:ligatures w14:val="standardContextual"/>
        </w:rPr>
      </w:pPr>
      <w:r>
        <w:rPr>
          <w:noProof/>
          <w:color w:val="000000"/>
        </w:rPr>
        <w:t>1.5. Сведения об основных поставщиках эмитента</w:t>
      </w:r>
      <w:r>
        <w:rPr>
          <w:noProof/>
        </w:rPr>
        <w:tab/>
      </w:r>
      <w:r>
        <w:rPr>
          <w:noProof/>
        </w:rPr>
        <w:fldChar w:fldCharType="begin"/>
      </w:r>
      <w:r>
        <w:rPr>
          <w:noProof/>
        </w:rPr>
        <w:instrText xml:space="preserve"> PAGEREF _Toc230104300 \h </w:instrText>
      </w:r>
      <w:r>
        <w:rPr>
          <w:noProof/>
        </w:rPr>
      </w:r>
      <w:r>
        <w:rPr>
          <w:noProof/>
        </w:rPr>
        <w:fldChar w:fldCharType="separate"/>
      </w:r>
      <w:r w:rsidR="000C3A8C">
        <w:rPr>
          <w:noProof/>
        </w:rPr>
        <w:t>29</w:t>
      </w:r>
      <w:r>
        <w:rPr>
          <w:noProof/>
        </w:rPr>
        <w:fldChar w:fldCharType="end"/>
      </w:r>
    </w:p>
    <w:p w:rsidR="00A02ECF" w:rsidRDefault="006104A2">
      <w:pPr>
        <w:pStyle w:val="24"/>
        <w:tabs>
          <w:tab w:val="right" w:leader="dot" w:pos="9204"/>
        </w:tabs>
        <w:rPr>
          <w:rFonts w:asciiTheme="minorHAnsi" w:eastAsiaTheme="minorEastAsia" w:hAnsiTheme="minorHAnsi" w:cstheme="minorBidi"/>
          <w:noProof/>
          <w:sz w:val="24"/>
          <w:szCs w:val="24"/>
          <w14:ligatures w14:val="standardContextual"/>
        </w:rPr>
      </w:pPr>
      <w:r>
        <w:rPr>
          <w:noProof/>
          <w:color w:val="000000"/>
        </w:rPr>
        <w:t>1.6. Сведения об основных дебиторах эмитента</w:t>
      </w:r>
      <w:r>
        <w:rPr>
          <w:noProof/>
        </w:rPr>
        <w:tab/>
      </w:r>
      <w:r>
        <w:rPr>
          <w:noProof/>
        </w:rPr>
        <w:fldChar w:fldCharType="begin"/>
      </w:r>
      <w:r>
        <w:rPr>
          <w:noProof/>
        </w:rPr>
        <w:instrText xml:space="preserve"> PAGEREF _Toc230104301 \h </w:instrText>
      </w:r>
      <w:r>
        <w:rPr>
          <w:noProof/>
        </w:rPr>
      </w:r>
      <w:r>
        <w:rPr>
          <w:noProof/>
        </w:rPr>
        <w:fldChar w:fldCharType="separate"/>
      </w:r>
      <w:r w:rsidR="000C3A8C">
        <w:rPr>
          <w:noProof/>
        </w:rPr>
        <w:t>29</w:t>
      </w:r>
      <w:r>
        <w:rPr>
          <w:noProof/>
        </w:rPr>
        <w:fldChar w:fldCharType="end"/>
      </w:r>
    </w:p>
    <w:p w:rsidR="00A02ECF" w:rsidRDefault="006104A2">
      <w:pPr>
        <w:pStyle w:val="24"/>
        <w:tabs>
          <w:tab w:val="right" w:leader="dot" w:pos="9204"/>
        </w:tabs>
        <w:rPr>
          <w:rFonts w:asciiTheme="minorHAnsi" w:eastAsiaTheme="minorEastAsia" w:hAnsiTheme="minorHAnsi" w:cstheme="minorBidi"/>
          <w:noProof/>
          <w:sz w:val="24"/>
          <w:szCs w:val="24"/>
          <w14:ligatures w14:val="standardContextual"/>
        </w:rPr>
      </w:pPr>
      <w:r>
        <w:rPr>
          <w:noProof/>
          <w:color w:val="000000"/>
        </w:rPr>
        <w:t>1.7. Сведения об обязательствах эмитента</w:t>
      </w:r>
      <w:r>
        <w:rPr>
          <w:noProof/>
        </w:rPr>
        <w:tab/>
      </w:r>
      <w:r>
        <w:rPr>
          <w:noProof/>
        </w:rPr>
        <w:fldChar w:fldCharType="begin"/>
      </w:r>
      <w:r>
        <w:rPr>
          <w:noProof/>
        </w:rPr>
        <w:instrText xml:space="preserve"> PAGEREF _Toc230104302 \h </w:instrText>
      </w:r>
      <w:r>
        <w:rPr>
          <w:noProof/>
        </w:rPr>
      </w:r>
      <w:r>
        <w:rPr>
          <w:noProof/>
        </w:rPr>
        <w:fldChar w:fldCharType="separate"/>
      </w:r>
      <w:r w:rsidR="000C3A8C">
        <w:rPr>
          <w:noProof/>
        </w:rPr>
        <w:t>30</w:t>
      </w:r>
      <w:r>
        <w:rPr>
          <w:noProof/>
        </w:rPr>
        <w:fldChar w:fldCharType="end"/>
      </w:r>
    </w:p>
    <w:p w:rsidR="00A02ECF" w:rsidRDefault="006104A2">
      <w:pPr>
        <w:pStyle w:val="24"/>
        <w:tabs>
          <w:tab w:val="right" w:leader="dot" w:pos="9204"/>
        </w:tabs>
        <w:rPr>
          <w:rFonts w:asciiTheme="minorHAnsi" w:eastAsiaTheme="minorEastAsia" w:hAnsiTheme="minorHAnsi" w:cstheme="minorBidi"/>
          <w:noProof/>
          <w:sz w:val="24"/>
          <w:szCs w:val="24"/>
          <w14:ligatures w14:val="standardContextual"/>
        </w:rPr>
      </w:pPr>
      <w:r>
        <w:rPr>
          <w:noProof/>
          <w:color w:val="000000"/>
        </w:rPr>
        <w:t>1.7.1. Сведения об основных кредиторах эмитента</w:t>
      </w:r>
      <w:r>
        <w:rPr>
          <w:noProof/>
        </w:rPr>
        <w:tab/>
      </w:r>
      <w:r>
        <w:rPr>
          <w:noProof/>
        </w:rPr>
        <w:fldChar w:fldCharType="begin"/>
      </w:r>
      <w:r>
        <w:rPr>
          <w:noProof/>
        </w:rPr>
        <w:instrText xml:space="preserve"> PAGEREF _Toc230104303 \h </w:instrText>
      </w:r>
      <w:r>
        <w:rPr>
          <w:noProof/>
        </w:rPr>
      </w:r>
      <w:r>
        <w:rPr>
          <w:noProof/>
        </w:rPr>
        <w:fldChar w:fldCharType="separate"/>
      </w:r>
      <w:r w:rsidR="000C3A8C">
        <w:rPr>
          <w:noProof/>
        </w:rPr>
        <w:t>30</w:t>
      </w:r>
      <w:r>
        <w:rPr>
          <w:noProof/>
        </w:rPr>
        <w:fldChar w:fldCharType="end"/>
      </w:r>
    </w:p>
    <w:p w:rsidR="00A02ECF" w:rsidRDefault="006104A2">
      <w:pPr>
        <w:pStyle w:val="24"/>
        <w:tabs>
          <w:tab w:val="right" w:leader="dot" w:pos="9204"/>
        </w:tabs>
        <w:rPr>
          <w:rFonts w:asciiTheme="minorHAnsi" w:eastAsiaTheme="minorEastAsia" w:hAnsiTheme="minorHAnsi" w:cstheme="minorBidi"/>
          <w:noProof/>
          <w:sz w:val="24"/>
          <w:szCs w:val="24"/>
          <w14:ligatures w14:val="standardContextual"/>
        </w:rPr>
      </w:pPr>
      <w:r>
        <w:rPr>
          <w:noProof/>
          <w:color w:val="000000"/>
        </w:rPr>
        <w:t>1.7.2. Сведения об обязательствах эмитента из предоставленного обеспечения</w:t>
      </w:r>
      <w:r>
        <w:rPr>
          <w:noProof/>
        </w:rPr>
        <w:tab/>
      </w:r>
      <w:r>
        <w:rPr>
          <w:noProof/>
        </w:rPr>
        <w:fldChar w:fldCharType="begin"/>
      </w:r>
      <w:r>
        <w:rPr>
          <w:noProof/>
        </w:rPr>
        <w:instrText xml:space="preserve"> PAGEREF _Toc230104304 \h </w:instrText>
      </w:r>
      <w:r>
        <w:rPr>
          <w:noProof/>
        </w:rPr>
      </w:r>
      <w:r>
        <w:rPr>
          <w:noProof/>
        </w:rPr>
        <w:fldChar w:fldCharType="separate"/>
      </w:r>
      <w:r w:rsidR="000C3A8C">
        <w:rPr>
          <w:noProof/>
        </w:rPr>
        <w:t>30</w:t>
      </w:r>
      <w:r>
        <w:rPr>
          <w:noProof/>
        </w:rPr>
        <w:fldChar w:fldCharType="end"/>
      </w:r>
    </w:p>
    <w:p w:rsidR="00A02ECF" w:rsidRDefault="006104A2">
      <w:pPr>
        <w:pStyle w:val="24"/>
        <w:tabs>
          <w:tab w:val="right" w:leader="dot" w:pos="9204"/>
        </w:tabs>
        <w:rPr>
          <w:rFonts w:asciiTheme="minorHAnsi" w:eastAsiaTheme="minorEastAsia" w:hAnsiTheme="minorHAnsi" w:cstheme="minorBidi"/>
          <w:noProof/>
          <w:sz w:val="24"/>
          <w:szCs w:val="24"/>
          <w14:ligatures w14:val="standardContextual"/>
        </w:rPr>
      </w:pPr>
      <w:r>
        <w:rPr>
          <w:noProof/>
          <w:color w:val="000000"/>
        </w:rPr>
        <w:t>1.7.3. Сведения о прочих существенных обязательствах эмитента</w:t>
      </w:r>
      <w:r>
        <w:rPr>
          <w:noProof/>
        </w:rPr>
        <w:tab/>
      </w:r>
      <w:r>
        <w:rPr>
          <w:noProof/>
        </w:rPr>
        <w:fldChar w:fldCharType="begin"/>
      </w:r>
      <w:r>
        <w:rPr>
          <w:noProof/>
        </w:rPr>
        <w:instrText xml:space="preserve"> PAGEREF _Toc230104305 \h </w:instrText>
      </w:r>
      <w:r>
        <w:rPr>
          <w:noProof/>
        </w:rPr>
      </w:r>
      <w:r>
        <w:rPr>
          <w:noProof/>
        </w:rPr>
        <w:fldChar w:fldCharType="separate"/>
      </w:r>
      <w:r w:rsidR="000C3A8C">
        <w:rPr>
          <w:noProof/>
        </w:rPr>
        <w:t>30</w:t>
      </w:r>
      <w:r>
        <w:rPr>
          <w:noProof/>
        </w:rPr>
        <w:fldChar w:fldCharType="end"/>
      </w:r>
    </w:p>
    <w:p w:rsidR="00A02ECF" w:rsidRDefault="006104A2">
      <w:pPr>
        <w:pStyle w:val="24"/>
        <w:tabs>
          <w:tab w:val="right" w:leader="dot" w:pos="9204"/>
        </w:tabs>
        <w:rPr>
          <w:rFonts w:asciiTheme="minorHAnsi" w:eastAsiaTheme="minorEastAsia" w:hAnsiTheme="minorHAnsi" w:cstheme="minorBidi"/>
          <w:noProof/>
          <w:sz w:val="24"/>
          <w:szCs w:val="24"/>
          <w14:ligatures w14:val="standardContextual"/>
        </w:rPr>
      </w:pPr>
      <w:r>
        <w:rPr>
          <w:noProof/>
          <w:color w:val="000000"/>
        </w:rPr>
        <w:t>1.8. Сведения о перспективах развития эмитента</w:t>
      </w:r>
      <w:r>
        <w:rPr>
          <w:noProof/>
        </w:rPr>
        <w:tab/>
      </w:r>
      <w:r>
        <w:rPr>
          <w:noProof/>
        </w:rPr>
        <w:fldChar w:fldCharType="begin"/>
      </w:r>
      <w:r>
        <w:rPr>
          <w:noProof/>
        </w:rPr>
        <w:instrText xml:space="preserve"> PAGEREF _Toc230104306 \h </w:instrText>
      </w:r>
      <w:r>
        <w:rPr>
          <w:noProof/>
        </w:rPr>
      </w:r>
      <w:r>
        <w:rPr>
          <w:noProof/>
        </w:rPr>
        <w:fldChar w:fldCharType="separate"/>
      </w:r>
      <w:r w:rsidR="000C3A8C">
        <w:rPr>
          <w:noProof/>
        </w:rPr>
        <w:t>31</w:t>
      </w:r>
      <w:r>
        <w:rPr>
          <w:noProof/>
        </w:rPr>
        <w:fldChar w:fldCharType="end"/>
      </w:r>
    </w:p>
    <w:p w:rsidR="00A02ECF" w:rsidRDefault="006104A2">
      <w:pPr>
        <w:pStyle w:val="24"/>
        <w:tabs>
          <w:tab w:val="right" w:leader="dot" w:pos="9204"/>
        </w:tabs>
        <w:rPr>
          <w:rFonts w:asciiTheme="minorHAnsi" w:eastAsiaTheme="minorEastAsia" w:hAnsiTheme="minorHAnsi" w:cstheme="minorBidi"/>
          <w:noProof/>
          <w:sz w:val="24"/>
          <w:szCs w:val="24"/>
          <w14:ligatures w14:val="standardContextual"/>
        </w:rPr>
      </w:pPr>
      <w:r>
        <w:rPr>
          <w:noProof/>
          <w:color w:val="000000"/>
        </w:rPr>
        <w:t>1.9. Сведения о рисках, связанных с деятельностью эмитента</w:t>
      </w:r>
      <w:r>
        <w:rPr>
          <w:noProof/>
        </w:rPr>
        <w:tab/>
      </w:r>
      <w:r>
        <w:rPr>
          <w:noProof/>
        </w:rPr>
        <w:fldChar w:fldCharType="begin"/>
      </w:r>
      <w:r>
        <w:rPr>
          <w:noProof/>
        </w:rPr>
        <w:instrText xml:space="preserve"> PAGEREF _Toc230104307 \h </w:instrText>
      </w:r>
      <w:r>
        <w:rPr>
          <w:noProof/>
        </w:rPr>
      </w:r>
      <w:r>
        <w:rPr>
          <w:noProof/>
        </w:rPr>
        <w:fldChar w:fldCharType="separate"/>
      </w:r>
      <w:r w:rsidR="000C3A8C">
        <w:rPr>
          <w:noProof/>
        </w:rPr>
        <w:t>34</w:t>
      </w:r>
      <w:r>
        <w:rPr>
          <w:noProof/>
        </w:rPr>
        <w:fldChar w:fldCharType="end"/>
      </w:r>
    </w:p>
    <w:p w:rsidR="00A02ECF" w:rsidRDefault="006104A2">
      <w:pPr>
        <w:pStyle w:val="24"/>
        <w:tabs>
          <w:tab w:val="right" w:leader="dot" w:pos="9204"/>
        </w:tabs>
        <w:rPr>
          <w:rFonts w:asciiTheme="minorHAnsi" w:eastAsiaTheme="minorEastAsia" w:hAnsiTheme="minorHAnsi" w:cstheme="minorBidi"/>
          <w:noProof/>
          <w:sz w:val="24"/>
          <w:szCs w:val="24"/>
          <w14:ligatures w14:val="standardContextual"/>
        </w:rPr>
      </w:pPr>
      <w:r>
        <w:rPr>
          <w:noProof/>
          <w:color w:val="000000"/>
        </w:rPr>
        <w:t>1.9.1. Отраслевые риски</w:t>
      </w:r>
      <w:r>
        <w:rPr>
          <w:noProof/>
        </w:rPr>
        <w:tab/>
      </w:r>
      <w:r>
        <w:rPr>
          <w:noProof/>
        </w:rPr>
        <w:fldChar w:fldCharType="begin"/>
      </w:r>
      <w:r>
        <w:rPr>
          <w:noProof/>
        </w:rPr>
        <w:instrText xml:space="preserve"> PAGEREF _Toc230104308 \h </w:instrText>
      </w:r>
      <w:r>
        <w:rPr>
          <w:noProof/>
        </w:rPr>
      </w:r>
      <w:r>
        <w:rPr>
          <w:noProof/>
        </w:rPr>
        <w:fldChar w:fldCharType="separate"/>
      </w:r>
      <w:r w:rsidR="000C3A8C">
        <w:rPr>
          <w:noProof/>
        </w:rPr>
        <w:t>35</w:t>
      </w:r>
      <w:r>
        <w:rPr>
          <w:noProof/>
        </w:rPr>
        <w:fldChar w:fldCharType="end"/>
      </w:r>
    </w:p>
    <w:p w:rsidR="00A02ECF" w:rsidRDefault="006104A2">
      <w:pPr>
        <w:pStyle w:val="24"/>
        <w:tabs>
          <w:tab w:val="right" w:leader="dot" w:pos="9204"/>
        </w:tabs>
        <w:rPr>
          <w:rFonts w:asciiTheme="minorHAnsi" w:eastAsiaTheme="minorEastAsia" w:hAnsiTheme="minorHAnsi" w:cstheme="minorBidi"/>
          <w:noProof/>
          <w:sz w:val="24"/>
          <w:szCs w:val="24"/>
          <w14:ligatures w14:val="standardContextual"/>
        </w:rPr>
      </w:pPr>
      <w:r>
        <w:rPr>
          <w:noProof/>
          <w:color w:val="000000"/>
        </w:rPr>
        <w:t>1.9.2. Страновые и региональные риски</w:t>
      </w:r>
      <w:r>
        <w:rPr>
          <w:noProof/>
        </w:rPr>
        <w:tab/>
      </w:r>
      <w:r>
        <w:rPr>
          <w:noProof/>
        </w:rPr>
        <w:fldChar w:fldCharType="begin"/>
      </w:r>
      <w:r>
        <w:rPr>
          <w:noProof/>
        </w:rPr>
        <w:instrText xml:space="preserve"> PAGEREF _Toc230104309 \h </w:instrText>
      </w:r>
      <w:r>
        <w:rPr>
          <w:noProof/>
        </w:rPr>
      </w:r>
      <w:r>
        <w:rPr>
          <w:noProof/>
        </w:rPr>
        <w:fldChar w:fldCharType="separate"/>
      </w:r>
      <w:r w:rsidR="000C3A8C">
        <w:rPr>
          <w:noProof/>
        </w:rPr>
        <w:t>38</w:t>
      </w:r>
      <w:r>
        <w:rPr>
          <w:noProof/>
        </w:rPr>
        <w:fldChar w:fldCharType="end"/>
      </w:r>
    </w:p>
    <w:p w:rsidR="00A02ECF" w:rsidRDefault="006104A2">
      <w:pPr>
        <w:pStyle w:val="24"/>
        <w:tabs>
          <w:tab w:val="right" w:leader="dot" w:pos="9204"/>
        </w:tabs>
        <w:rPr>
          <w:rFonts w:asciiTheme="minorHAnsi" w:eastAsiaTheme="minorEastAsia" w:hAnsiTheme="minorHAnsi" w:cstheme="minorBidi"/>
          <w:noProof/>
          <w:sz w:val="24"/>
          <w:szCs w:val="24"/>
          <w14:ligatures w14:val="standardContextual"/>
        </w:rPr>
      </w:pPr>
      <w:r>
        <w:rPr>
          <w:noProof/>
          <w:color w:val="000000"/>
        </w:rPr>
        <w:t>1.9.3. Финансовые риски</w:t>
      </w:r>
      <w:r>
        <w:rPr>
          <w:noProof/>
        </w:rPr>
        <w:tab/>
      </w:r>
      <w:r>
        <w:rPr>
          <w:noProof/>
        </w:rPr>
        <w:fldChar w:fldCharType="begin"/>
      </w:r>
      <w:r>
        <w:rPr>
          <w:noProof/>
        </w:rPr>
        <w:instrText xml:space="preserve"> PAGEREF _Toc230104310 \h </w:instrText>
      </w:r>
      <w:r>
        <w:rPr>
          <w:noProof/>
        </w:rPr>
      </w:r>
      <w:r>
        <w:rPr>
          <w:noProof/>
        </w:rPr>
        <w:fldChar w:fldCharType="separate"/>
      </w:r>
      <w:r w:rsidR="000C3A8C">
        <w:rPr>
          <w:noProof/>
        </w:rPr>
        <w:t>41</w:t>
      </w:r>
      <w:r>
        <w:rPr>
          <w:noProof/>
        </w:rPr>
        <w:fldChar w:fldCharType="end"/>
      </w:r>
    </w:p>
    <w:p w:rsidR="00A02ECF" w:rsidRDefault="006104A2">
      <w:pPr>
        <w:pStyle w:val="24"/>
        <w:tabs>
          <w:tab w:val="right" w:leader="dot" w:pos="9204"/>
        </w:tabs>
        <w:rPr>
          <w:rFonts w:asciiTheme="minorHAnsi" w:eastAsiaTheme="minorEastAsia" w:hAnsiTheme="minorHAnsi" w:cstheme="minorBidi"/>
          <w:noProof/>
          <w:sz w:val="24"/>
          <w:szCs w:val="24"/>
          <w14:ligatures w14:val="standardContextual"/>
        </w:rPr>
      </w:pPr>
      <w:r>
        <w:rPr>
          <w:noProof/>
          <w:color w:val="000000"/>
        </w:rPr>
        <w:t>1.9.4. Правовые риски</w:t>
      </w:r>
      <w:r>
        <w:rPr>
          <w:noProof/>
        </w:rPr>
        <w:tab/>
      </w:r>
      <w:r>
        <w:rPr>
          <w:noProof/>
        </w:rPr>
        <w:fldChar w:fldCharType="begin"/>
      </w:r>
      <w:r>
        <w:rPr>
          <w:noProof/>
        </w:rPr>
        <w:instrText xml:space="preserve"> PAGEREF _Toc230104311 \h </w:instrText>
      </w:r>
      <w:r>
        <w:rPr>
          <w:noProof/>
        </w:rPr>
      </w:r>
      <w:r>
        <w:rPr>
          <w:noProof/>
        </w:rPr>
        <w:fldChar w:fldCharType="separate"/>
      </w:r>
      <w:r w:rsidR="000C3A8C">
        <w:rPr>
          <w:noProof/>
        </w:rPr>
        <w:t>45</w:t>
      </w:r>
      <w:r>
        <w:rPr>
          <w:noProof/>
        </w:rPr>
        <w:fldChar w:fldCharType="end"/>
      </w:r>
    </w:p>
    <w:p w:rsidR="00A02ECF" w:rsidRDefault="006104A2">
      <w:pPr>
        <w:pStyle w:val="24"/>
        <w:tabs>
          <w:tab w:val="right" w:leader="dot" w:pos="9204"/>
        </w:tabs>
        <w:rPr>
          <w:rFonts w:asciiTheme="minorHAnsi" w:eastAsiaTheme="minorEastAsia" w:hAnsiTheme="minorHAnsi" w:cstheme="minorBidi"/>
          <w:noProof/>
          <w:sz w:val="24"/>
          <w:szCs w:val="24"/>
          <w14:ligatures w14:val="standardContextual"/>
        </w:rPr>
      </w:pPr>
      <w:r>
        <w:rPr>
          <w:noProof/>
          <w:color w:val="000000"/>
        </w:rPr>
        <w:t>1.9.5. Риск потери деловой репутации (репутационный риск)</w:t>
      </w:r>
      <w:r>
        <w:rPr>
          <w:noProof/>
        </w:rPr>
        <w:tab/>
      </w:r>
      <w:r>
        <w:rPr>
          <w:noProof/>
        </w:rPr>
        <w:fldChar w:fldCharType="begin"/>
      </w:r>
      <w:r>
        <w:rPr>
          <w:noProof/>
        </w:rPr>
        <w:instrText xml:space="preserve"> PAGEREF _Toc230104312 \h </w:instrText>
      </w:r>
      <w:r>
        <w:rPr>
          <w:noProof/>
        </w:rPr>
      </w:r>
      <w:r>
        <w:rPr>
          <w:noProof/>
        </w:rPr>
        <w:fldChar w:fldCharType="separate"/>
      </w:r>
      <w:r w:rsidR="000C3A8C">
        <w:rPr>
          <w:noProof/>
        </w:rPr>
        <w:t>54</w:t>
      </w:r>
      <w:r>
        <w:rPr>
          <w:noProof/>
        </w:rPr>
        <w:fldChar w:fldCharType="end"/>
      </w:r>
    </w:p>
    <w:p w:rsidR="00A02ECF" w:rsidRDefault="006104A2">
      <w:pPr>
        <w:pStyle w:val="24"/>
        <w:tabs>
          <w:tab w:val="right" w:leader="dot" w:pos="9204"/>
        </w:tabs>
        <w:rPr>
          <w:rFonts w:asciiTheme="minorHAnsi" w:eastAsiaTheme="minorEastAsia" w:hAnsiTheme="minorHAnsi" w:cstheme="minorBidi"/>
          <w:noProof/>
          <w:sz w:val="24"/>
          <w:szCs w:val="24"/>
          <w14:ligatures w14:val="standardContextual"/>
        </w:rPr>
      </w:pPr>
      <w:r>
        <w:rPr>
          <w:noProof/>
        </w:rPr>
        <w:t>1.9.6. Стратегический риск</w:t>
      </w:r>
      <w:r>
        <w:rPr>
          <w:noProof/>
        </w:rPr>
        <w:tab/>
      </w:r>
      <w:r>
        <w:rPr>
          <w:noProof/>
        </w:rPr>
        <w:fldChar w:fldCharType="begin"/>
      </w:r>
      <w:r>
        <w:rPr>
          <w:noProof/>
        </w:rPr>
        <w:instrText xml:space="preserve"> PAGEREF _Toc230104313 \h </w:instrText>
      </w:r>
      <w:r>
        <w:rPr>
          <w:noProof/>
        </w:rPr>
      </w:r>
      <w:r>
        <w:rPr>
          <w:noProof/>
        </w:rPr>
        <w:fldChar w:fldCharType="separate"/>
      </w:r>
      <w:r w:rsidR="000C3A8C">
        <w:rPr>
          <w:noProof/>
        </w:rPr>
        <w:t>55</w:t>
      </w:r>
      <w:r>
        <w:rPr>
          <w:noProof/>
        </w:rPr>
        <w:fldChar w:fldCharType="end"/>
      </w:r>
    </w:p>
    <w:p w:rsidR="00A02ECF" w:rsidRDefault="006104A2">
      <w:pPr>
        <w:pStyle w:val="24"/>
        <w:tabs>
          <w:tab w:val="right" w:leader="dot" w:pos="9204"/>
        </w:tabs>
        <w:rPr>
          <w:rFonts w:asciiTheme="minorHAnsi" w:eastAsiaTheme="minorEastAsia" w:hAnsiTheme="minorHAnsi" w:cstheme="minorBidi"/>
          <w:noProof/>
          <w:sz w:val="24"/>
          <w:szCs w:val="24"/>
          <w14:ligatures w14:val="standardContextual"/>
        </w:rPr>
      </w:pPr>
      <w:r>
        <w:rPr>
          <w:noProof/>
          <w:color w:val="000000"/>
        </w:rPr>
        <w:t>1.9.7. Риски, связанные с деятельностью эмитента</w:t>
      </w:r>
      <w:r>
        <w:rPr>
          <w:noProof/>
        </w:rPr>
        <w:tab/>
      </w:r>
      <w:r>
        <w:rPr>
          <w:noProof/>
        </w:rPr>
        <w:fldChar w:fldCharType="begin"/>
      </w:r>
      <w:r>
        <w:rPr>
          <w:noProof/>
        </w:rPr>
        <w:instrText xml:space="preserve"> PAGEREF _Toc230104314 \h </w:instrText>
      </w:r>
      <w:r>
        <w:rPr>
          <w:noProof/>
        </w:rPr>
      </w:r>
      <w:r>
        <w:rPr>
          <w:noProof/>
        </w:rPr>
        <w:fldChar w:fldCharType="separate"/>
      </w:r>
      <w:r w:rsidR="000C3A8C">
        <w:rPr>
          <w:noProof/>
        </w:rPr>
        <w:t>55</w:t>
      </w:r>
      <w:r>
        <w:rPr>
          <w:noProof/>
        </w:rPr>
        <w:fldChar w:fldCharType="end"/>
      </w:r>
    </w:p>
    <w:p w:rsidR="00A02ECF" w:rsidRDefault="006104A2">
      <w:pPr>
        <w:pStyle w:val="24"/>
        <w:tabs>
          <w:tab w:val="right" w:leader="dot" w:pos="9204"/>
        </w:tabs>
        <w:rPr>
          <w:rFonts w:asciiTheme="minorHAnsi" w:eastAsiaTheme="minorEastAsia" w:hAnsiTheme="minorHAnsi" w:cstheme="minorBidi"/>
          <w:noProof/>
          <w:sz w:val="24"/>
          <w:szCs w:val="24"/>
          <w14:ligatures w14:val="standardContextual"/>
        </w:rPr>
      </w:pPr>
      <w:r>
        <w:rPr>
          <w:noProof/>
          <w:color w:val="000000"/>
        </w:rPr>
        <w:t>1.9.8. Риск информационной безопасности</w:t>
      </w:r>
      <w:r>
        <w:rPr>
          <w:noProof/>
        </w:rPr>
        <w:tab/>
      </w:r>
      <w:r>
        <w:rPr>
          <w:noProof/>
        </w:rPr>
        <w:fldChar w:fldCharType="begin"/>
      </w:r>
      <w:r>
        <w:rPr>
          <w:noProof/>
        </w:rPr>
        <w:instrText xml:space="preserve"> PAGEREF _Toc230104315 \h </w:instrText>
      </w:r>
      <w:r>
        <w:rPr>
          <w:noProof/>
        </w:rPr>
      </w:r>
      <w:r>
        <w:rPr>
          <w:noProof/>
        </w:rPr>
        <w:fldChar w:fldCharType="separate"/>
      </w:r>
      <w:r w:rsidR="000C3A8C">
        <w:rPr>
          <w:noProof/>
        </w:rPr>
        <w:t>58</w:t>
      </w:r>
      <w:r>
        <w:rPr>
          <w:noProof/>
        </w:rPr>
        <w:fldChar w:fldCharType="end"/>
      </w:r>
    </w:p>
    <w:p w:rsidR="00A02ECF" w:rsidRDefault="006104A2">
      <w:pPr>
        <w:pStyle w:val="24"/>
        <w:tabs>
          <w:tab w:val="right" w:leader="dot" w:pos="9204"/>
        </w:tabs>
        <w:rPr>
          <w:rFonts w:asciiTheme="minorHAnsi" w:eastAsiaTheme="minorEastAsia" w:hAnsiTheme="minorHAnsi" w:cstheme="minorBidi"/>
          <w:noProof/>
          <w:sz w:val="24"/>
          <w:szCs w:val="24"/>
          <w14:ligatures w14:val="standardContextual"/>
        </w:rPr>
      </w:pPr>
      <w:r>
        <w:rPr>
          <w:noProof/>
          <w:color w:val="000000"/>
        </w:rPr>
        <w:t>1.9.9. Экологический риск</w:t>
      </w:r>
      <w:r>
        <w:rPr>
          <w:noProof/>
        </w:rPr>
        <w:tab/>
      </w:r>
      <w:r>
        <w:rPr>
          <w:noProof/>
        </w:rPr>
        <w:fldChar w:fldCharType="begin"/>
      </w:r>
      <w:r>
        <w:rPr>
          <w:noProof/>
        </w:rPr>
        <w:instrText xml:space="preserve"> PAGEREF _Toc230104316 \h </w:instrText>
      </w:r>
      <w:r>
        <w:rPr>
          <w:noProof/>
        </w:rPr>
      </w:r>
      <w:r>
        <w:rPr>
          <w:noProof/>
        </w:rPr>
        <w:fldChar w:fldCharType="separate"/>
      </w:r>
      <w:r w:rsidR="000C3A8C">
        <w:rPr>
          <w:noProof/>
        </w:rPr>
        <w:t>58</w:t>
      </w:r>
      <w:r>
        <w:rPr>
          <w:noProof/>
        </w:rPr>
        <w:fldChar w:fldCharType="end"/>
      </w:r>
    </w:p>
    <w:p w:rsidR="00A02ECF" w:rsidRDefault="006104A2">
      <w:pPr>
        <w:pStyle w:val="24"/>
        <w:tabs>
          <w:tab w:val="right" w:leader="dot" w:pos="9204"/>
        </w:tabs>
        <w:rPr>
          <w:rFonts w:asciiTheme="minorHAnsi" w:eastAsiaTheme="minorEastAsia" w:hAnsiTheme="minorHAnsi" w:cstheme="minorBidi"/>
          <w:noProof/>
          <w:sz w:val="24"/>
          <w:szCs w:val="24"/>
          <w14:ligatures w14:val="standardContextual"/>
        </w:rPr>
      </w:pPr>
      <w:r>
        <w:rPr>
          <w:noProof/>
          <w:color w:val="000000"/>
        </w:rPr>
        <w:t>1.9.10. Природно-климатический риск</w:t>
      </w:r>
      <w:r>
        <w:rPr>
          <w:noProof/>
        </w:rPr>
        <w:tab/>
      </w:r>
      <w:r>
        <w:rPr>
          <w:noProof/>
        </w:rPr>
        <w:fldChar w:fldCharType="begin"/>
      </w:r>
      <w:r>
        <w:rPr>
          <w:noProof/>
        </w:rPr>
        <w:instrText xml:space="preserve"> PAGEREF _Toc230104317 \h </w:instrText>
      </w:r>
      <w:r>
        <w:rPr>
          <w:noProof/>
        </w:rPr>
      </w:r>
      <w:r>
        <w:rPr>
          <w:noProof/>
        </w:rPr>
        <w:fldChar w:fldCharType="separate"/>
      </w:r>
      <w:r w:rsidR="000C3A8C">
        <w:rPr>
          <w:noProof/>
        </w:rPr>
        <w:t>58</w:t>
      </w:r>
      <w:r>
        <w:rPr>
          <w:noProof/>
        </w:rPr>
        <w:fldChar w:fldCharType="end"/>
      </w:r>
    </w:p>
    <w:p w:rsidR="00A02ECF" w:rsidRDefault="006104A2">
      <w:pPr>
        <w:pStyle w:val="24"/>
        <w:tabs>
          <w:tab w:val="right" w:leader="dot" w:pos="9204"/>
        </w:tabs>
        <w:rPr>
          <w:rFonts w:asciiTheme="minorHAnsi" w:eastAsiaTheme="minorEastAsia" w:hAnsiTheme="minorHAnsi" w:cstheme="minorBidi"/>
          <w:noProof/>
          <w:sz w:val="24"/>
          <w:szCs w:val="24"/>
          <w14:ligatures w14:val="standardContextual"/>
        </w:rPr>
      </w:pPr>
      <w:r>
        <w:rPr>
          <w:noProof/>
          <w:color w:val="000000"/>
        </w:rPr>
        <w:t>1.9.11. Риски кредитных организаций</w:t>
      </w:r>
      <w:r>
        <w:rPr>
          <w:noProof/>
        </w:rPr>
        <w:tab/>
      </w:r>
      <w:r>
        <w:rPr>
          <w:noProof/>
        </w:rPr>
        <w:fldChar w:fldCharType="begin"/>
      </w:r>
      <w:r>
        <w:rPr>
          <w:noProof/>
        </w:rPr>
        <w:instrText xml:space="preserve"> PAGEREF _Toc230104318 \h </w:instrText>
      </w:r>
      <w:r>
        <w:rPr>
          <w:noProof/>
        </w:rPr>
      </w:r>
      <w:r>
        <w:rPr>
          <w:noProof/>
        </w:rPr>
        <w:fldChar w:fldCharType="separate"/>
      </w:r>
      <w:r w:rsidR="000C3A8C">
        <w:rPr>
          <w:noProof/>
        </w:rPr>
        <w:t>59</w:t>
      </w:r>
      <w:r>
        <w:rPr>
          <w:noProof/>
        </w:rPr>
        <w:fldChar w:fldCharType="end"/>
      </w:r>
    </w:p>
    <w:p w:rsidR="00A02ECF" w:rsidRDefault="006104A2">
      <w:pPr>
        <w:pStyle w:val="24"/>
        <w:tabs>
          <w:tab w:val="right" w:leader="dot" w:pos="9204"/>
        </w:tabs>
        <w:rPr>
          <w:rFonts w:asciiTheme="minorHAnsi" w:eastAsiaTheme="minorEastAsia" w:hAnsiTheme="minorHAnsi" w:cstheme="minorBidi"/>
          <w:noProof/>
          <w:sz w:val="24"/>
          <w:szCs w:val="24"/>
          <w14:ligatures w14:val="standardContextual"/>
        </w:rPr>
      </w:pPr>
      <w:r>
        <w:rPr>
          <w:noProof/>
          <w:color w:val="000000"/>
        </w:rPr>
        <w:t>1.9.12. Иные риски, которые являются существенными для эмитента (группы эмитента)</w:t>
      </w:r>
      <w:r>
        <w:rPr>
          <w:noProof/>
        </w:rPr>
        <w:tab/>
      </w:r>
      <w:r>
        <w:rPr>
          <w:noProof/>
        </w:rPr>
        <w:fldChar w:fldCharType="begin"/>
      </w:r>
      <w:r>
        <w:rPr>
          <w:noProof/>
        </w:rPr>
        <w:instrText xml:space="preserve"> PAGEREF _Toc230104319 \h </w:instrText>
      </w:r>
      <w:r>
        <w:rPr>
          <w:noProof/>
        </w:rPr>
      </w:r>
      <w:r>
        <w:rPr>
          <w:noProof/>
        </w:rPr>
        <w:fldChar w:fldCharType="separate"/>
      </w:r>
      <w:r w:rsidR="000C3A8C">
        <w:rPr>
          <w:noProof/>
        </w:rPr>
        <w:t>59</w:t>
      </w:r>
      <w:r>
        <w:rPr>
          <w:noProof/>
        </w:rPr>
        <w:fldChar w:fldCharType="end"/>
      </w:r>
    </w:p>
    <w:p w:rsidR="00A02ECF" w:rsidRDefault="006104A2">
      <w:pPr>
        <w:pStyle w:val="13"/>
        <w:tabs>
          <w:tab w:val="right" w:leader="dot" w:pos="9204"/>
        </w:tabs>
        <w:rPr>
          <w:rFonts w:asciiTheme="minorHAnsi" w:eastAsiaTheme="minorEastAsia" w:hAnsiTheme="minorHAnsi" w:cstheme="minorBidi"/>
          <w:noProof/>
          <w:sz w:val="24"/>
          <w:szCs w:val="24"/>
          <w14:ligatures w14:val="standardContextual"/>
        </w:rPr>
      </w:pPr>
      <w:r>
        <w:rPr>
          <w:noProof/>
          <w:color w:val="000000"/>
        </w:rPr>
        <w:t>Раздел 2. Сведения о лицах, входящих в состав органов управления эмитента, сведения об организации в эмитенте управления рисками, контроля за финансово-хозяйственной деятельностью и внутреннего контроля, внутреннего аудита, а также сведения о работниках эмитента</w:t>
      </w:r>
      <w:r>
        <w:rPr>
          <w:noProof/>
        </w:rPr>
        <w:tab/>
      </w:r>
      <w:r>
        <w:rPr>
          <w:noProof/>
        </w:rPr>
        <w:fldChar w:fldCharType="begin"/>
      </w:r>
      <w:r>
        <w:rPr>
          <w:noProof/>
        </w:rPr>
        <w:instrText xml:space="preserve"> PAGEREF _Toc230104320 \h </w:instrText>
      </w:r>
      <w:r>
        <w:rPr>
          <w:noProof/>
        </w:rPr>
      </w:r>
      <w:r>
        <w:rPr>
          <w:noProof/>
        </w:rPr>
        <w:fldChar w:fldCharType="separate"/>
      </w:r>
      <w:r w:rsidR="000C3A8C">
        <w:rPr>
          <w:noProof/>
        </w:rPr>
        <w:t>60</w:t>
      </w:r>
      <w:r>
        <w:rPr>
          <w:noProof/>
        </w:rPr>
        <w:fldChar w:fldCharType="end"/>
      </w:r>
    </w:p>
    <w:p w:rsidR="00A02ECF" w:rsidRDefault="006104A2">
      <w:pPr>
        <w:pStyle w:val="24"/>
        <w:tabs>
          <w:tab w:val="right" w:leader="dot" w:pos="9204"/>
        </w:tabs>
        <w:rPr>
          <w:rFonts w:asciiTheme="minorHAnsi" w:eastAsiaTheme="minorEastAsia" w:hAnsiTheme="minorHAnsi" w:cstheme="minorBidi"/>
          <w:noProof/>
          <w:sz w:val="24"/>
          <w:szCs w:val="24"/>
          <w14:ligatures w14:val="standardContextual"/>
        </w:rPr>
      </w:pPr>
      <w:r>
        <w:rPr>
          <w:noProof/>
          <w:color w:val="000000"/>
        </w:rPr>
        <w:t>2.1. Информация о лицах, входящих в состав органов управления эмитента</w:t>
      </w:r>
      <w:r>
        <w:rPr>
          <w:noProof/>
        </w:rPr>
        <w:tab/>
      </w:r>
      <w:r>
        <w:rPr>
          <w:noProof/>
        </w:rPr>
        <w:fldChar w:fldCharType="begin"/>
      </w:r>
      <w:r>
        <w:rPr>
          <w:noProof/>
        </w:rPr>
        <w:instrText xml:space="preserve"> PAGEREF _Toc230104321 \h </w:instrText>
      </w:r>
      <w:r>
        <w:rPr>
          <w:noProof/>
        </w:rPr>
      </w:r>
      <w:r>
        <w:rPr>
          <w:noProof/>
        </w:rPr>
        <w:fldChar w:fldCharType="separate"/>
      </w:r>
      <w:r w:rsidR="000C3A8C">
        <w:rPr>
          <w:noProof/>
        </w:rPr>
        <w:t>60</w:t>
      </w:r>
      <w:r>
        <w:rPr>
          <w:noProof/>
        </w:rPr>
        <w:fldChar w:fldCharType="end"/>
      </w:r>
    </w:p>
    <w:p w:rsidR="00A02ECF" w:rsidRDefault="006104A2">
      <w:pPr>
        <w:pStyle w:val="24"/>
        <w:tabs>
          <w:tab w:val="right" w:leader="dot" w:pos="9204"/>
        </w:tabs>
        <w:rPr>
          <w:rFonts w:asciiTheme="minorHAnsi" w:eastAsiaTheme="minorEastAsia" w:hAnsiTheme="minorHAnsi" w:cstheme="minorBidi"/>
          <w:noProof/>
          <w:sz w:val="24"/>
          <w:szCs w:val="24"/>
          <w14:ligatures w14:val="standardContextual"/>
        </w:rPr>
      </w:pPr>
      <w:r>
        <w:rPr>
          <w:noProof/>
          <w:color w:val="000000"/>
        </w:rPr>
        <w:t>2.1.1. Состав совета директоров (наблюдательного совета) эмитента</w:t>
      </w:r>
      <w:r>
        <w:rPr>
          <w:noProof/>
        </w:rPr>
        <w:tab/>
      </w:r>
      <w:r>
        <w:rPr>
          <w:noProof/>
        </w:rPr>
        <w:fldChar w:fldCharType="begin"/>
      </w:r>
      <w:r>
        <w:rPr>
          <w:noProof/>
        </w:rPr>
        <w:instrText xml:space="preserve"> PAGEREF _Toc230104322 \h </w:instrText>
      </w:r>
      <w:r>
        <w:rPr>
          <w:noProof/>
        </w:rPr>
      </w:r>
      <w:r>
        <w:rPr>
          <w:noProof/>
        </w:rPr>
        <w:fldChar w:fldCharType="separate"/>
      </w:r>
      <w:r w:rsidR="000C3A8C">
        <w:rPr>
          <w:noProof/>
        </w:rPr>
        <w:t>60</w:t>
      </w:r>
      <w:r>
        <w:rPr>
          <w:noProof/>
        </w:rPr>
        <w:fldChar w:fldCharType="end"/>
      </w:r>
    </w:p>
    <w:p w:rsidR="00A02ECF" w:rsidRDefault="006104A2">
      <w:pPr>
        <w:pStyle w:val="24"/>
        <w:tabs>
          <w:tab w:val="right" w:leader="dot" w:pos="9204"/>
        </w:tabs>
        <w:rPr>
          <w:rFonts w:asciiTheme="minorHAnsi" w:eastAsiaTheme="minorEastAsia" w:hAnsiTheme="minorHAnsi" w:cstheme="minorBidi"/>
          <w:noProof/>
          <w:sz w:val="24"/>
          <w:szCs w:val="24"/>
          <w14:ligatures w14:val="standardContextual"/>
        </w:rPr>
      </w:pPr>
      <w:r>
        <w:rPr>
          <w:noProof/>
          <w:color w:val="000000"/>
        </w:rPr>
        <w:t>2.1.2. Информация о единоличном исполнительном органе эмитента</w:t>
      </w:r>
      <w:r>
        <w:rPr>
          <w:noProof/>
        </w:rPr>
        <w:tab/>
      </w:r>
      <w:r>
        <w:rPr>
          <w:noProof/>
        </w:rPr>
        <w:fldChar w:fldCharType="begin"/>
      </w:r>
      <w:r>
        <w:rPr>
          <w:noProof/>
        </w:rPr>
        <w:instrText xml:space="preserve"> PAGEREF _Toc230104323 \h </w:instrText>
      </w:r>
      <w:r>
        <w:rPr>
          <w:noProof/>
        </w:rPr>
      </w:r>
      <w:r>
        <w:rPr>
          <w:noProof/>
        </w:rPr>
        <w:fldChar w:fldCharType="separate"/>
      </w:r>
      <w:r w:rsidR="000C3A8C">
        <w:rPr>
          <w:noProof/>
        </w:rPr>
        <w:t>63</w:t>
      </w:r>
      <w:r>
        <w:rPr>
          <w:noProof/>
        </w:rPr>
        <w:fldChar w:fldCharType="end"/>
      </w:r>
    </w:p>
    <w:p w:rsidR="00A02ECF" w:rsidRDefault="006104A2">
      <w:pPr>
        <w:pStyle w:val="24"/>
        <w:tabs>
          <w:tab w:val="right" w:leader="dot" w:pos="9204"/>
        </w:tabs>
        <w:rPr>
          <w:rFonts w:asciiTheme="minorHAnsi" w:eastAsiaTheme="minorEastAsia" w:hAnsiTheme="minorHAnsi" w:cstheme="minorBidi"/>
          <w:noProof/>
          <w:sz w:val="24"/>
          <w:szCs w:val="24"/>
          <w14:ligatures w14:val="standardContextual"/>
        </w:rPr>
      </w:pPr>
      <w:r>
        <w:rPr>
          <w:noProof/>
          <w:color w:val="000000"/>
        </w:rPr>
        <w:t>2.1.3. Состав коллегиального исполнительного органа эмитента</w:t>
      </w:r>
      <w:r>
        <w:rPr>
          <w:noProof/>
        </w:rPr>
        <w:tab/>
      </w:r>
      <w:r>
        <w:rPr>
          <w:noProof/>
        </w:rPr>
        <w:fldChar w:fldCharType="begin"/>
      </w:r>
      <w:r>
        <w:rPr>
          <w:noProof/>
        </w:rPr>
        <w:instrText xml:space="preserve"> PAGEREF _Toc230104324 \h </w:instrText>
      </w:r>
      <w:r>
        <w:rPr>
          <w:noProof/>
        </w:rPr>
      </w:r>
      <w:r>
        <w:rPr>
          <w:noProof/>
        </w:rPr>
        <w:fldChar w:fldCharType="separate"/>
      </w:r>
      <w:r w:rsidR="000C3A8C">
        <w:rPr>
          <w:noProof/>
        </w:rPr>
        <w:t>63</w:t>
      </w:r>
      <w:r>
        <w:rPr>
          <w:noProof/>
        </w:rPr>
        <w:fldChar w:fldCharType="end"/>
      </w:r>
    </w:p>
    <w:p w:rsidR="00A02ECF" w:rsidRDefault="006104A2">
      <w:pPr>
        <w:pStyle w:val="24"/>
        <w:tabs>
          <w:tab w:val="right" w:leader="dot" w:pos="9204"/>
        </w:tabs>
        <w:rPr>
          <w:rFonts w:asciiTheme="minorHAnsi" w:eastAsiaTheme="minorEastAsia" w:hAnsiTheme="minorHAnsi" w:cstheme="minorBidi"/>
          <w:noProof/>
          <w:sz w:val="24"/>
          <w:szCs w:val="24"/>
          <w14:ligatures w14:val="standardContextual"/>
        </w:rPr>
      </w:pPr>
      <w:r>
        <w:rPr>
          <w:noProof/>
          <w:color w:val="000000"/>
        </w:rPr>
        <w:t>2.2. Сведения о политике в области вознаграждения и (или) компенсации расходов, а также о размере вознаграждения и (или) компенсации расходов по каждому органу управления эмитента</w:t>
      </w:r>
      <w:r>
        <w:rPr>
          <w:noProof/>
        </w:rPr>
        <w:tab/>
      </w:r>
      <w:r>
        <w:rPr>
          <w:noProof/>
        </w:rPr>
        <w:fldChar w:fldCharType="begin"/>
      </w:r>
      <w:r>
        <w:rPr>
          <w:noProof/>
        </w:rPr>
        <w:instrText xml:space="preserve"> PAGEREF _Toc230104325 \h </w:instrText>
      </w:r>
      <w:r>
        <w:rPr>
          <w:noProof/>
        </w:rPr>
      </w:r>
      <w:r>
        <w:rPr>
          <w:noProof/>
        </w:rPr>
        <w:fldChar w:fldCharType="separate"/>
      </w:r>
      <w:r w:rsidR="000C3A8C">
        <w:rPr>
          <w:noProof/>
        </w:rPr>
        <w:t>64</w:t>
      </w:r>
      <w:r>
        <w:rPr>
          <w:noProof/>
        </w:rPr>
        <w:fldChar w:fldCharType="end"/>
      </w:r>
    </w:p>
    <w:p w:rsidR="00A02ECF" w:rsidRDefault="006104A2">
      <w:pPr>
        <w:pStyle w:val="24"/>
        <w:tabs>
          <w:tab w:val="right" w:leader="dot" w:pos="9204"/>
        </w:tabs>
        <w:rPr>
          <w:rFonts w:asciiTheme="minorHAnsi" w:eastAsiaTheme="minorEastAsia" w:hAnsiTheme="minorHAnsi" w:cstheme="minorBidi"/>
          <w:noProof/>
          <w:sz w:val="24"/>
          <w:szCs w:val="24"/>
          <w14:ligatures w14:val="standardContextual"/>
        </w:rPr>
      </w:pPr>
      <w:r>
        <w:rPr>
          <w:noProof/>
          <w:color w:val="000000"/>
        </w:rPr>
        <w:t>2.3. Сведения об организации в эмитенте управления рисками, контроля за финансово-хозяйственной деятельностью, внутреннего контроля и внутреннего аудита</w:t>
      </w:r>
      <w:r>
        <w:rPr>
          <w:noProof/>
        </w:rPr>
        <w:tab/>
      </w:r>
      <w:r>
        <w:rPr>
          <w:noProof/>
        </w:rPr>
        <w:fldChar w:fldCharType="begin"/>
      </w:r>
      <w:r>
        <w:rPr>
          <w:noProof/>
        </w:rPr>
        <w:instrText xml:space="preserve"> PAGEREF _Toc230104326 \h </w:instrText>
      </w:r>
      <w:r>
        <w:rPr>
          <w:noProof/>
        </w:rPr>
      </w:r>
      <w:r>
        <w:rPr>
          <w:noProof/>
        </w:rPr>
        <w:fldChar w:fldCharType="separate"/>
      </w:r>
      <w:r w:rsidR="000C3A8C">
        <w:rPr>
          <w:noProof/>
        </w:rPr>
        <w:t>67</w:t>
      </w:r>
      <w:r>
        <w:rPr>
          <w:noProof/>
        </w:rPr>
        <w:fldChar w:fldCharType="end"/>
      </w:r>
    </w:p>
    <w:p w:rsidR="00A02ECF" w:rsidRDefault="006104A2">
      <w:pPr>
        <w:pStyle w:val="24"/>
        <w:tabs>
          <w:tab w:val="right" w:leader="dot" w:pos="9204"/>
        </w:tabs>
        <w:rPr>
          <w:rFonts w:asciiTheme="minorHAnsi" w:eastAsiaTheme="minorEastAsia" w:hAnsiTheme="minorHAnsi" w:cstheme="minorBidi"/>
          <w:noProof/>
          <w:sz w:val="24"/>
          <w:szCs w:val="24"/>
          <w14:ligatures w14:val="standardContextual"/>
        </w:rPr>
      </w:pPr>
      <w:r>
        <w:rPr>
          <w:noProof/>
          <w:color w:val="000000"/>
        </w:rPr>
        <w:t>2.4. Информация о лицах, ответственных в эмитенте за организацию и осуществление управления рисками, контроля за финансово-хозяйственной деятельностью и внутреннего контроля, внутреннего аудита</w:t>
      </w:r>
      <w:r>
        <w:rPr>
          <w:noProof/>
        </w:rPr>
        <w:tab/>
      </w:r>
      <w:r>
        <w:rPr>
          <w:noProof/>
        </w:rPr>
        <w:fldChar w:fldCharType="begin"/>
      </w:r>
      <w:r>
        <w:rPr>
          <w:noProof/>
        </w:rPr>
        <w:instrText xml:space="preserve"> PAGEREF _Toc230104327 \h </w:instrText>
      </w:r>
      <w:r>
        <w:rPr>
          <w:noProof/>
        </w:rPr>
      </w:r>
      <w:r>
        <w:rPr>
          <w:noProof/>
        </w:rPr>
        <w:fldChar w:fldCharType="separate"/>
      </w:r>
      <w:r w:rsidR="000C3A8C">
        <w:rPr>
          <w:noProof/>
        </w:rPr>
        <w:t>74</w:t>
      </w:r>
      <w:r>
        <w:rPr>
          <w:noProof/>
        </w:rPr>
        <w:fldChar w:fldCharType="end"/>
      </w:r>
    </w:p>
    <w:p w:rsidR="00A02ECF" w:rsidRDefault="006104A2">
      <w:pPr>
        <w:pStyle w:val="24"/>
        <w:tabs>
          <w:tab w:val="right" w:leader="dot" w:pos="9204"/>
        </w:tabs>
        <w:rPr>
          <w:rFonts w:asciiTheme="minorHAnsi" w:eastAsiaTheme="minorEastAsia" w:hAnsiTheme="minorHAnsi" w:cstheme="minorBidi"/>
          <w:noProof/>
          <w:sz w:val="24"/>
          <w:szCs w:val="24"/>
          <w14:ligatures w14:val="standardContextual"/>
        </w:rPr>
      </w:pPr>
      <w:r>
        <w:rPr>
          <w:noProof/>
          <w:color w:val="000000"/>
        </w:rPr>
        <w:t>2.5. Сведения о любых обязательствах эмитента перед работниками эмитента и работниками подконтрольных эмитенту организаций, касающихся возможности их участия в уставном капитале эмитента</w:t>
      </w:r>
      <w:r>
        <w:rPr>
          <w:noProof/>
        </w:rPr>
        <w:tab/>
      </w:r>
      <w:r>
        <w:rPr>
          <w:noProof/>
        </w:rPr>
        <w:fldChar w:fldCharType="begin"/>
      </w:r>
      <w:r>
        <w:rPr>
          <w:noProof/>
        </w:rPr>
        <w:instrText xml:space="preserve"> PAGEREF _Toc230104328 \h </w:instrText>
      </w:r>
      <w:r>
        <w:rPr>
          <w:noProof/>
        </w:rPr>
      </w:r>
      <w:r>
        <w:rPr>
          <w:noProof/>
        </w:rPr>
        <w:fldChar w:fldCharType="separate"/>
      </w:r>
      <w:r w:rsidR="000C3A8C">
        <w:rPr>
          <w:noProof/>
        </w:rPr>
        <w:t>75</w:t>
      </w:r>
      <w:r>
        <w:rPr>
          <w:noProof/>
        </w:rPr>
        <w:fldChar w:fldCharType="end"/>
      </w:r>
    </w:p>
    <w:p w:rsidR="00A02ECF" w:rsidRDefault="006104A2">
      <w:pPr>
        <w:pStyle w:val="13"/>
        <w:tabs>
          <w:tab w:val="right" w:leader="dot" w:pos="9204"/>
        </w:tabs>
        <w:rPr>
          <w:rFonts w:asciiTheme="minorHAnsi" w:eastAsiaTheme="minorEastAsia" w:hAnsiTheme="minorHAnsi" w:cstheme="minorBidi"/>
          <w:noProof/>
          <w:sz w:val="24"/>
          <w:szCs w:val="24"/>
          <w14:ligatures w14:val="standardContextual"/>
        </w:rPr>
      </w:pPr>
      <w:r>
        <w:rPr>
          <w:noProof/>
          <w:color w:val="000000"/>
        </w:rPr>
        <w:t>Раздел 3. Сведения об акционерах (участниках, членах) эмитента, а также о сделках эмитента, в совершении которых имелась заинтересованность, и крупных сделках эмитента</w:t>
      </w:r>
      <w:r>
        <w:rPr>
          <w:noProof/>
        </w:rPr>
        <w:tab/>
      </w:r>
      <w:r>
        <w:rPr>
          <w:noProof/>
        </w:rPr>
        <w:fldChar w:fldCharType="begin"/>
      </w:r>
      <w:r>
        <w:rPr>
          <w:noProof/>
        </w:rPr>
        <w:instrText xml:space="preserve"> PAGEREF _Toc230104329 \h </w:instrText>
      </w:r>
      <w:r>
        <w:rPr>
          <w:noProof/>
        </w:rPr>
      </w:r>
      <w:r>
        <w:rPr>
          <w:noProof/>
        </w:rPr>
        <w:fldChar w:fldCharType="separate"/>
      </w:r>
      <w:r w:rsidR="000C3A8C">
        <w:rPr>
          <w:noProof/>
        </w:rPr>
        <w:t>77</w:t>
      </w:r>
      <w:r>
        <w:rPr>
          <w:noProof/>
        </w:rPr>
        <w:fldChar w:fldCharType="end"/>
      </w:r>
    </w:p>
    <w:p w:rsidR="00A02ECF" w:rsidRDefault="006104A2">
      <w:pPr>
        <w:pStyle w:val="24"/>
        <w:tabs>
          <w:tab w:val="right" w:leader="dot" w:pos="9204"/>
        </w:tabs>
        <w:rPr>
          <w:rFonts w:asciiTheme="minorHAnsi" w:eastAsiaTheme="minorEastAsia" w:hAnsiTheme="minorHAnsi" w:cstheme="minorBidi"/>
          <w:noProof/>
          <w:sz w:val="24"/>
          <w:szCs w:val="24"/>
          <w14:ligatures w14:val="standardContextual"/>
        </w:rPr>
      </w:pPr>
      <w:r>
        <w:rPr>
          <w:noProof/>
        </w:rPr>
        <w:lastRenderedPageBreak/>
        <w:t>3.1. Сведения об общем количестве акционеров (участников, членов) эмитента</w:t>
      </w:r>
      <w:r>
        <w:rPr>
          <w:noProof/>
        </w:rPr>
        <w:tab/>
      </w:r>
      <w:r>
        <w:rPr>
          <w:noProof/>
        </w:rPr>
        <w:fldChar w:fldCharType="begin"/>
      </w:r>
      <w:r>
        <w:rPr>
          <w:noProof/>
        </w:rPr>
        <w:instrText xml:space="preserve"> PAGEREF _Toc230104330 \h </w:instrText>
      </w:r>
      <w:r>
        <w:rPr>
          <w:noProof/>
        </w:rPr>
      </w:r>
      <w:r>
        <w:rPr>
          <w:noProof/>
        </w:rPr>
        <w:fldChar w:fldCharType="separate"/>
      </w:r>
      <w:r w:rsidR="000C3A8C">
        <w:rPr>
          <w:noProof/>
        </w:rPr>
        <w:t>77</w:t>
      </w:r>
      <w:r>
        <w:rPr>
          <w:noProof/>
        </w:rPr>
        <w:fldChar w:fldCharType="end"/>
      </w:r>
    </w:p>
    <w:p w:rsidR="00A02ECF" w:rsidRDefault="006104A2">
      <w:pPr>
        <w:pStyle w:val="24"/>
        <w:tabs>
          <w:tab w:val="right" w:leader="dot" w:pos="9204"/>
        </w:tabs>
        <w:rPr>
          <w:rFonts w:asciiTheme="minorHAnsi" w:eastAsiaTheme="minorEastAsia" w:hAnsiTheme="minorHAnsi" w:cstheme="minorBidi"/>
          <w:noProof/>
          <w:sz w:val="24"/>
          <w:szCs w:val="24"/>
          <w14:ligatures w14:val="standardContextual"/>
        </w:rPr>
      </w:pPr>
      <w:r>
        <w:rPr>
          <w:noProof/>
          <w:color w:val="000000"/>
        </w:rPr>
        <w:t>3.2. Сведения об акционерах (участниках, членах) эмитента или лицах, имеющих право распоряжаться голосами, приходящимися на голосующие акции (доли), составляющие уставный (складочный) капитал (паевой фонд) эмитента</w:t>
      </w:r>
      <w:r>
        <w:rPr>
          <w:noProof/>
        </w:rPr>
        <w:tab/>
      </w:r>
      <w:r>
        <w:rPr>
          <w:noProof/>
        </w:rPr>
        <w:fldChar w:fldCharType="begin"/>
      </w:r>
      <w:r>
        <w:rPr>
          <w:noProof/>
        </w:rPr>
        <w:instrText xml:space="preserve"> PAGEREF _Toc230104331 \h </w:instrText>
      </w:r>
      <w:r>
        <w:rPr>
          <w:noProof/>
        </w:rPr>
      </w:r>
      <w:r>
        <w:rPr>
          <w:noProof/>
        </w:rPr>
        <w:fldChar w:fldCharType="separate"/>
      </w:r>
      <w:r w:rsidR="000C3A8C">
        <w:rPr>
          <w:noProof/>
        </w:rPr>
        <w:t>78</w:t>
      </w:r>
      <w:r>
        <w:rPr>
          <w:noProof/>
        </w:rPr>
        <w:fldChar w:fldCharType="end"/>
      </w:r>
    </w:p>
    <w:p w:rsidR="00A02ECF" w:rsidRDefault="006104A2">
      <w:pPr>
        <w:pStyle w:val="24"/>
        <w:tabs>
          <w:tab w:val="right" w:leader="dot" w:pos="9204"/>
        </w:tabs>
        <w:rPr>
          <w:rFonts w:asciiTheme="minorHAnsi" w:eastAsiaTheme="minorEastAsia" w:hAnsiTheme="minorHAnsi" w:cstheme="minorBidi"/>
          <w:noProof/>
          <w:sz w:val="24"/>
          <w:szCs w:val="24"/>
          <w14:ligatures w14:val="standardContextual"/>
        </w:rPr>
      </w:pPr>
      <w:r>
        <w:rPr>
          <w:noProof/>
          <w:color w:val="000000"/>
        </w:rPr>
        <w:t>3.3. Сведения о доле участия Российской Федерации, субъекта Российской Федерации или муниципального образования в уставном капитале эмитента, наличии специального права («золотой акции»)</w:t>
      </w:r>
      <w:r>
        <w:rPr>
          <w:noProof/>
        </w:rPr>
        <w:tab/>
      </w:r>
      <w:r>
        <w:rPr>
          <w:noProof/>
        </w:rPr>
        <w:fldChar w:fldCharType="begin"/>
      </w:r>
      <w:r>
        <w:rPr>
          <w:noProof/>
        </w:rPr>
        <w:instrText xml:space="preserve"> PAGEREF _Toc230104332 \h </w:instrText>
      </w:r>
      <w:r>
        <w:rPr>
          <w:noProof/>
        </w:rPr>
      </w:r>
      <w:r>
        <w:rPr>
          <w:noProof/>
        </w:rPr>
        <w:fldChar w:fldCharType="separate"/>
      </w:r>
      <w:r w:rsidR="000C3A8C">
        <w:rPr>
          <w:noProof/>
        </w:rPr>
        <w:t>80</w:t>
      </w:r>
      <w:r>
        <w:rPr>
          <w:noProof/>
        </w:rPr>
        <w:fldChar w:fldCharType="end"/>
      </w:r>
    </w:p>
    <w:p w:rsidR="00A02ECF" w:rsidRDefault="006104A2">
      <w:pPr>
        <w:pStyle w:val="24"/>
        <w:tabs>
          <w:tab w:val="right" w:leader="dot" w:pos="9204"/>
        </w:tabs>
        <w:rPr>
          <w:rFonts w:asciiTheme="minorHAnsi" w:eastAsiaTheme="minorEastAsia" w:hAnsiTheme="minorHAnsi" w:cstheme="minorBidi"/>
          <w:noProof/>
          <w:sz w:val="24"/>
          <w:szCs w:val="24"/>
          <w14:ligatures w14:val="standardContextual"/>
        </w:rPr>
      </w:pPr>
      <w:r>
        <w:rPr>
          <w:noProof/>
          <w:color w:val="000000"/>
        </w:rPr>
        <w:t>3.4. Сделки эмитента, в совершении которых имелась заинтересованность</w:t>
      </w:r>
      <w:r>
        <w:rPr>
          <w:noProof/>
        </w:rPr>
        <w:tab/>
      </w:r>
      <w:r>
        <w:rPr>
          <w:noProof/>
        </w:rPr>
        <w:fldChar w:fldCharType="begin"/>
      </w:r>
      <w:r>
        <w:rPr>
          <w:noProof/>
        </w:rPr>
        <w:instrText xml:space="preserve"> PAGEREF _Toc230104333 \h </w:instrText>
      </w:r>
      <w:r>
        <w:rPr>
          <w:noProof/>
        </w:rPr>
      </w:r>
      <w:r>
        <w:rPr>
          <w:noProof/>
        </w:rPr>
        <w:fldChar w:fldCharType="separate"/>
      </w:r>
      <w:r w:rsidR="000C3A8C">
        <w:rPr>
          <w:noProof/>
        </w:rPr>
        <w:t>81</w:t>
      </w:r>
      <w:r>
        <w:rPr>
          <w:noProof/>
        </w:rPr>
        <w:fldChar w:fldCharType="end"/>
      </w:r>
    </w:p>
    <w:p w:rsidR="00A02ECF" w:rsidRDefault="006104A2">
      <w:pPr>
        <w:pStyle w:val="24"/>
        <w:tabs>
          <w:tab w:val="right" w:leader="dot" w:pos="9204"/>
        </w:tabs>
        <w:rPr>
          <w:rFonts w:asciiTheme="minorHAnsi" w:eastAsiaTheme="minorEastAsia" w:hAnsiTheme="minorHAnsi" w:cstheme="minorBidi"/>
          <w:noProof/>
          <w:sz w:val="24"/>
          <w:szCs w:val="24"/>
          <w14:ligatures w14:val="standardContextual"/>
        </w:rPr>
      </w:pPr>
      <w:r>
        <w:rPr>
          <w:noProof/>
          <w:color w:val="000000"/>
        </w:rPr>
        <w:t>3.5. Крупные сделки эмитента</w:t>
      </w:r>
      <w:r>
        <w:rPr>
          <w:noProof/>
        </w:rPr>
        <w:tab/>
      </w:r>
      <w:r>
        <w:rPr>
          <w:noProof/>
        </w:rPr>
        <w:fldChar w:fldCharType="begin"/>
      </w:r>
      <w:r>
        <w:rPr>
          <w:noProof/>
        </w:rPr>
        <w:instrText xml:space="preserve"> PAGEREF _Toc230104334 \h </w:instrText>
      </w:r>
      <w:r>
        <w:rPr>
          <w:noProof/>
        </w:rPr>
      </w:r>
      <w:r>
        <w:rPr>
          <w:noProof/>
        </w:rPr>
        <w:fldChar w:fldCharType="separate"/>
      </w:r>
      <w:r w:rsidR="000C3A8C">
        <w:rPr>
          <w:noProof/>
        </w:rPr>
        <w:t>81</w:t>
      </w:r>
      <w:r>
        <w:rPr>
          <w:noProof/>
        </w:rPr>
        <w:fldChar w:fldCharType="end"/>
      </w:r>
    </w:p>
    <w:p w:rsidR="00A02ECF" w:rsidRDefault="006104A2">
      <w:pPr>
        <w:pStyle w:val="13"/>
        <w:tabs>
          <w:tab w:val="right" w:leader="dot" w:pos="9204"/>
        </w:tabs>
        <w:rPr>
          <w:rFonts w:asciiTheme="minorHAnsi" w:eastAsiaTheme="minorEastAsia" w:hAnsiTheme="minorHAnsi" w:cstheme="minorBidi"/>
          <w:noProof/>
          <w:sz w:val="24"/>
          <w:szCs w:val="24"/>
          <w14:ligatures w14:val="standardContextual"/>
        </w:rPr>
      </w:pPr>
      <w:r>
        <w:rPr>
          <w:noProof/>
        </w:rPr>
        <w:t>Раздел 4. Дополнительные сведения об эмитенте и о размещенных им ценных бумагах</w:t>
      </w:r>
      <w:r>
        <w:rPr>
          <w:noProof/>
        </w:rPr>
        <w:tab/>
      </w:r>
      <w:r>
        <w:rPr>
          <w:noProof/>
        </w:rPr>
        <w:fldChar w:fldCharType="begin"/>
      </w:r>
      <w:r>
        <w:rPr>
          <w:noProof/>
        </w:rPr>
        <w:instrText xml:space="preserve"> PAGEREF _Toc230104335 \h </w:instrText>
      </w:r>
      <w:r>
        <w:rPr>
          <w:noProof/>
        </w:rPr>
      </w:r>
      <w:r>
        <w:rPr>
          <w:noProof/>
        </w:rPr>
        <w:fldChar w:fldCharType="separate"/>
      </w:r>
      <w:r w:rsidR="000C3A8C">
        <w:rPr>
          <w:noProof/>
        </w:rPr>
        <w:t>82</w:t>
      </w:r>
      <w:r>
        <w:rPr>
          <w:noProof/>
        </w:rPr>
        <w:fldChar w:fldCharType="end"/>
      </w:r>
    </w:p>
    <w:p w:rsidR="00A02ECF" w:rsidRDefault="006104A2">
      <w:pPr>
        <w:pStyle w:val="24"/>
        <w:tabs>
          <w:tab w:val="right" w:leader="dot" w:pos="9204"/>
        </w:tabs>
        <w:rPr>
          <w:rFonts w:asciiTheme="minorHAnsi" w:eastAsiaTheme="minorEastAsia" w:hAnsiTheme="minorHAnsi" w:cstheme="minorBidi"/>
          <w:noProof/>
          <w:sz w:val="24"/>
          <w:szCs w:val="24"/>
          <w14:ligatures w14:val="standardContextual"/>
        </w:rPr>
      </w:pPr>
      <w:r>
        <w:rPr>
          <w:noProof/>
        </w:rPr>
        <w:t>4.1. Подконтрольные эмитенту организации, имеющие для него существенное значение</w:t>
      </w:r>
      <w:r>
        <w:rPr>
          <w:noProof/>
        </w:rPr>
        <w:tab/>
      </w:r>
      <w:r>
        <w:rPr>
          <w:noProof/>
        </w:rPr>
        <w:fldChar w:fldCharType="begin"/>
      </w:r>
      <w:r>
        <w:rPr>
          <w:noProof/>
        </w:rPr>
        <w:instrText xml:space="preserve"> PAGEREF _Toc230104336 \h </w:instrText>
      </w:r>
      <w:r>
        <w:rPr>
          <w:noProof/>
        </w:rPr>
      </w:r>
      <w:r>
        <w:rPr>
          <w:noProof/>
        </w:rPr>
        <w:fldChar w:fldCharType="separate"/>
      </w:r>
      <w:r w:rsidR="000C3A8C">
        <w:rPr>
          <w:noProof/>
        </w:rPr>
        <w:t>82</w:t>
      </w:r>
      <w:r>
        <w:rPr>
          <w:noProof/>
        </w:rPr>
        <w:fldChar w:fldCharType="end"/>
      </w:r>
    </w:p>
    <w:p w:rsidR="00A02ECF" w:rsidRDefault="006104A2">
      <w:pPr>
        <w:pStyle w:val="24"/>
        <w:tabs>
          <w:tab w:val="right" w:leader="dot" w:pos="9204"/>
        </w:tabs>
        <w:rPr>
          <w:rFonts w:asciiTheme="minorHAnsi" w:eastAsiaTheme="minorEastAsia" w:hAnsiTheme="minorHAnsi" w:cstheme="minorBidi"/>
          <w:noProof/>
          <w:sz w:val="24"/>
          <w:szCs w:val="24"/>
          <w14:ligatures w14:val="standardContextual"/>
        </w:rPr>
      </w:pPr>
      <w:r>
        <w:rPr>
          <w:noProof/>
          <w:color w:val="000000"/>
        </w:rPr>
        <w:t>4.2. Дополнительные сведения, раскрываемые эмитентами зеленых облигаций, социальных облигаций, облигаций устойчивого развития, адаптационных облигаций</w:t>
      </w:r>
      <w:r>
        <w:rPr>
          <w:noProof/>
        </w:rPr>
        <w:tab/>
      </w:r>
      <w:r>
        <w:rPr>
          <w:noProof/>
        </w:rPr>
        <w:fldChar w:fldCharType="begin"/>
      </w:r>
      <w:r>
        <w:rPr>
          <w:noProof/>
        </w:rPr>
        <w:instrText xml:space="preserve"> PAGEREF _Toc230104337 \h </w:instrText>
      </w:r>
      <w:r>
        <w:rPr>
          <w:noProof/>
        </w:rPr>
      </w:r>
      <w:r>
        <w:rPr>
          <w:noProof/>
        </w:rPr>
        <w:fldChar w:fldCharType="separate"/>
      </w:r>
      <w:r w:rsidR="000C3A8C">
        <w:rPr>
          <w:noProof/>
        </w:rPr>
        <w:t>82</w:t>
      </w:r>
      <w:r>
        <w:rPr>
          <w:noProof/>
        </w:rPr>
        <w:fldChar w:fldCharType="end"/>
      </w:r>
    </w:p>
    <w:p w:rsidR="00A02ECF" w:rsidRDefault="006104A2">
      <w:pPr>
        <w:pStyle w:val="24"/>
        <w:tabs>
          <w:tab w:val="right" w:leader="dot" w:pos="9204"/>
        </w:tabs>
        <w:rPr>
          <w:rFonts w:asciiTheme="minorHAnsi" w:eastAsiaTheme="minorEastAsia" w:hAnsiTheme="minorHAnsi" w:cstheme="minorBidi"/>
          <w:noProof/>
          <w:sz w:val="24"/>
          <w:szCs w:val="24"/>
          <w14:ligatures w14:val="standardContextual"/>
        </w:rPr>
      </w:pPr>
      <w:r>
        <w:rPr>
          <w:noProof/>
          <w:color w:val="000000"/>
        </w:rPr>
        <w:t>4.2(1). Дополнительные сведения, раскрываемые эмитентами инфраструктурных облигаций</w:t>
      </w:r>
      <w:r>
        <w:rPr>
          <w:noProof/>
        </w:rPr>
        <w:tab/>
      </w:r>
      <w:r>
        <w:rPr>
          <w:noProof/>
        </w:rPr>
        <w:fldChar w:fldCharType="begin"/>
      </w:r>
      <w:r>
        <w:rPr>
          <w:noProof/>
        </w:rPr>
        <w:instrText xml:space="preserve"> PAGEREF _Toc230104338 \h </w:instrText>
      </w:r>
      <w:r>
        <w:rPr>
          <w:noProof/>
        </w:rPr>
      </w:r>
      <w:r>
        <w:rPr>
          <w:noProof/>
        </w:rPr>
        <w:fldChar w:fldCharType="separate"/>
      </w:r>
      <w:r w:rsidR="000C3A8C">
        <w:rPr>
          <w:noProof/>
        </w:rPr>
        <w:t>82</w:t>
      </w:r>
      <w:r>
        <w:rPr>
          <w:noProof/>
        </w:rPr>
        <w:fldChar w:fldCharType="end"/>
      </w:r>
    </w:p>
    <w:p w:rsidR="00A02ECF" w:rsidRDefault="006104A2">
      <w:pPr>
        <w:pStyle w:val="24"/>
        <w:tabs>
          <w:tab w:val="right" w:leader="dot" w:pos="9204"/>
        </w:tabs>
        <w:rPr>
          <w:rFonts w:asciiTheme="minorHAnsi" w:eastAsiaTheme="minorEastAsia" w:hAnsiTheme="minorHAnsi" w:cstheme="minorBidi"/>
          <w:noProof/>
          <w:sz w:val="24"/>
          <w:szCs w:val="24"/>
          <w14:ligatures w14:val="standardContextual"/>
        </w:rPr>
      </w:pPr>
      <w:r>
        <w:rPr>
          <w:noProof/>
          <w:color w:val="000000"/>
        </w:rPr>
        <w:t>4.2(2). Дополнительные сведения, раскрываемые эмитентами облигаций, связанных с целями устойчивого развития</w:t>
      </w:r>
      <w:r>
        <w:rPr>
          <w:noProof/>
        </w:rPr>
        <w:tab/>
      </w:r>
      <w:r>
        <w:rPr>
          <w:noProof/>
        </w:rPr>
        <w:fldChar w:fldCharType="begin"/>
      </w:r>
      <w:r>
        <w:rPr>
          <w:noProof/>
        </w:rPr>
        <w:instrText xml:space="preserve"> PAGEREF _Toc230104339 \h </w:instrText>
      </w:r>
      <w:r>
        <w:rPr>
          <w:noProof/>
        </w:rPr>
      </w:r>
      <w:r>
        <w:rPr>
          <w:noProof/>
        </w:rPr>
        <w:fldChar w:fldCharType="separate"/>
      </w:r>
      <w:r w:rsidR="000C3A8C">
        <w:rPr>
          <w:noProof/>
        </w:rPr>
        <w:t>82</w:t>
      </w:r>
      <w:r>
        <w:rPr>
          <w:noProof/>
        </w:rPr>
        <w:fldChar w:fldCharType="end"/>
      </w:r>
    </w:p>
    <w:p w:rsidR="00A02ECF" w:rsidRDefault="006104A2">
      <w:pPr>
        <w:pStyle w:val="24"/>
        <w:tabs>
          <w:tab w:val="right" w:leader="dot" w:pos="9204"/>
        </w:tabs>
        <w:rPr>
          <w:rFonts w:asciiTheme="minorHAnsi" w:eastAsiaTheme="minorEastAsia" w:hAnsiTheme="minorHAnsi" w:cstheme="minorBidi"/>
          <w:noProof/>
          <w:sz w:val="24"/>
          <w:szCs w:val="24"/>
          <w14:ligatures w14:val="standardContextual"/>
        </w:rPr>
      </w:pPr>
      <w:r>
        <w:rPr>
          <w:noProof/>
          <w:color w:val="000000"/>
        </w:rPr>
        <w:t>4.2(3). Дополнительные сведения, раскрываемые эмитентами облигаций климатического перехода</w:t>
      </w:r>
      <w:r>
        <w:rPr>
          <w:noProof/>
        </w:rPr>
        <w:tab/>
      </w:r>
      <w:r>
        <w:rPr>
          <w:noProof/>
        </w:rPr>
        <w:fldChar w:fldCharType="begin"/>
      </w:r>
      <w:r>
        <w:rPr>
          <w:noProof/>
        </w:rPr>
        <w:instrText xml:space="preserve"> PAGEREF _Toc230104340 \h </w:instrText>
      </w:r>
      <w:r>
        <w:rPr>
          <w:noProof/>
        </w:rPr>
      </w:r>
      <w:r>
        <w:rPr>
          <w:noProof/>
        </w:rPr>
        <w:fldChar w:fldCharType="separate"/>
      </w:r>
      <w:r w:rsidR="000C3A8C">
        <w:rPr>
          <w:noProof/>
        </w:rPr>
        <w:t>82</w:t>
      </w:r>
      <w:r>
        <w:rPr>
          <w:noProof/>
        </w:rPr>
        <w:fldChar w:fldCharType="end"/>
      </w:r>
    </w:p>
    <w:p w:rsidR="00A02ECF" w:rsidRDefault="006104A2">
      <w:pPr>
        <w:pStyle w:val="24"/>
        <w:tabs>
          <w:tab w:val="right" w:leader="dot" w:pos="9204"/>
        </w:tabs>
        <w:rPr>
          <w:rFonts w:asciiTheme="minorHAnsi" w:eastAsiaTheme="minorEastAsia" w:hAnsiTheme="minorHAnsi" w:cstheme="minorBidi"/>
          <w:noProof/>
          <w:sz w:val="24"/>
          <w:szCs w:val="24"/>
          <w14:ligatures w14:val="standardContextual"/>
        </w:rPr>
      </w:pPr>
      <w:r>
        <w:rPr>
          <w:noProof/>
          <w:color w:val="000000"/>
        </w:rPr>
        <w:t>4.3. Сведения о лице (лицах), предоставившем (предоставивших) обеспечение по облигациям эмитента с обеспечением, а также об обеспечении, предоставленном по облигациям эмитента с обеспечением</w:t>
      </w:r>
      <w:r>
        <w:rPr>
          <w:noProof/>
        </w:rPr>
        <w:tab/>
      </w:r>
      <w:r>
        <w:rPr>
          <w:noProof/>
        </w:rPr>
        <w:fldChar w:fldCharType="begin"/>
      </w:r>
      <w:r>
        <w:rPr>
          <w:noProof/>
        </w:rPr>
        <w:instrText xml:space="preserve"> PAGEREF _Toc230104341 \h </w:instrText>
      </w:r>
      <w:r>
        <w:rPr>
          <w:noProof/>
        </w:rPr>
      </w:r>
      <w:r>
        <w:rPr>
          <w:noProof/>
        </w:rPr>
        <w:fldChar w:fldCharType="separate"/>
      </w:r>
      <w:r w:rsidR="000C3A8C">
        <w:rPr>
          <w:noProof/>
        </w:rPr>
        <w:t>82</w:t>
      </w:r>
      <w:r>
        <w:rPr>
          <w:noProof/>
        </w:rPr>
        <w:fldChar w:fldCharType="end"/>
      </w:r>
    </w:p>
    <w:p w:rsidR="00A02ECF" w:rsidRDefault="006104A2">
      <w:pPr>
        <w:pStyle w:val="24"/>
        <w:tabs>
          <w:tab w:val="right" w:leader="dot" w:pos="9204"/>
        </w:tabs>
        <w:rPr>
          <w:rFonts w:asciiTheme="minorHAnsi" w:eastAsiaTheme="minorEastAsia" w:hAnsiTheme="minorHAnsi" w:cstheme="minorBidi"/>
          <w:noProof/>
          <w:sz w:val="24"/>
          <w:szCs w:val="24"/>
          <w14:ligatures w14:val="standardContextual"/>
        </w:rPr>
      </w:pPr>
      <w:r>
        <w:rPr>
          <w:noProof/>
          <w:color w:val="000000"/>
        </w:rPr>
        <w:t>4.3.1. Дополнительные сведения об ипотечном покрытии по облигациям эмитента с ипотечным покрытием</w:t>
      </w:r>
      <w:r>
        <w:rPr>
          <w:noProof/>
        </w:rPr>
        <w:tab/>
      </w:r>
      <w:r>
        <w:rPr>
          <w:noProof/>
        </w:rPr>
        <w:fldChar w:fldCharType="begin"/>
      </w:r>
      <w:r>
        <w:rPr>
          <w:noProof/>
        </w:rPr>
        <w:instrText xml:space="preserve"> PAGEREF _Toc230104342 \h </w:instrText>
      </w:r>
      <w:r>
        <w:rPr>
          <w:noProof/>
        </w:rPr>
      </w:r>
      <w:r>
        <w:rPr>
          <w:noProof/>
        </w:rPr>
        <w:fldChar w:fldCharType="separate"/>
      </w:r>
      <w:r w:rsidR="000C3A8C">
        <w:rPr>
          <w:noProof/>
        </w:rPr>
        <w:t>82</w:t>
      </w:r>
      <w:r>
        <w:rPr>
          <w:noProof/>
        </w:rPr>
        <w:fldChar w:fldCharType="end"/>
      </w:r>
    </w:p>
    <w:p w:rsidR="00A02ECF" w:rsidRDefault="006104A2">
      <w:pPr>
        <w:pStyle w:val="24"/>
        <w:tabs>
          <w:tab w:val="right" w:leader="dot" w:pos="9204"/>
        </w:tabs>
        <w:rPr>
          <w:rFonts w:asciiTheme="minorHAnsi" w:eastAsiaTheme="minorEastAsia" w:hAnsiTheme="minorHAnsi" w:cstheme="minorBidi"/>
          <w:noProof/>
          <w:sz w:val="24"/>
          <w:szCs w:val="24"/>
          <w14:ligatures w14:val="standardContextual"/>
        </w:rPr>
      </w:pPr>
      <w:r>
        <w:rPr>
          <w:noProof/>
          <w:color w:val="000000"/>
        </w:rPr>
        <w:t>4.3.2. Дополнительные сведения о залоговом обеспечении денежными требованиями по облигациям эмитента с залоговым обеспечением денежными требованиями</w:t>
      </w:r>
      <w:r>
        <w:rPr>
          <w:noProof/>
        </w:rPr>
        <w:tab/>
      </w:r>
      <w:r>
        <w:rPr>
          <w:noProof/>
        </w:rPr>
        <w:fldChar w:fldCharType="begin"/>
      </w:r>
      <w:r>
        <w:rPr>
          <w:noProof/>
        </w:rPr>
        <w:instrText xml:space="preserve"> PAGEREF _Toc230104343 \h </w:instrText>
      </w:r>
      <w:r>
        <w:rPr>
          <w:noProof/>
        </w:rPr>
      </w:r>
      <w:r>
        <w:rPr>
          <w:noProof/>
        </w:rPr>
        <w:fldChar w:fldCharType="separate"/>
      </w:r>
      <w:r w:rsidR="000C3A8C">
        <w:rPr>
          <w:noProof/>
        </w:rPr>
        <w:t>82</w:t>
      </w:r>
      <w:r>
        <w:rPr>
          <w:noProof/>
        </w:rPr>
        <w:fldChar w:fldCharType="end"/>
      </w:r>
    </w:p>
    <w:p w:rsidR="00A02ECF" w:rsidRDefault="006104A2">
      <w:pPr>
        <w:pStyle w:val="24"/>
        <w:tabs>
          <w:tab w:val="right" w:leader="dot" w:pos="9204"/>
        </w:tabs>
        <w:rPr>
          <w:rFonts w:asciiTheme="minorHAnsi" w:eastAsiaTheme="minorEastAsia" w:hAnsiTheme="minorHAnsi" w:cstheme="minorBidi"/>
          <w:noProof/>
          <w:sz w:val="24"/>
          <w:szCs w:val="24"/>
          <w14:ligatures w14:val="standardContextual"/>
        </w:rPr>
      </w:pPr>
      <w:r>
        <w:rPr>
          <w:noProof/>
          <w:color w:val="000000"/>
        </w:rPr>
        <w:t>4.4. Сведения об объявленных и выплаченных дивидендах по акциям эмитента</w:t>
      </w:r>
      <w:r>
        <w:rPr>
          <w:noProof/>
        </w:rPr>
        <w:tab/>
      </w:r>
      <w:r>
        <w:rPr>
          <w:noProof/>
        </w:rPr>
        <w:fldChar w:fldCharType="begin"/>
      </w:r>
      <w:r>
        <w:rPr>
          <w:noProof/>
        </w:rPr>
        <w:instrText xml:space="preserve"> PAGEREF _Toc230104344 \h </w:instrText>
      </w:r>
      <w:r>
        <w:rPr>
          <w:noProof/>
        </w:rPr>
      </w:r>
      <w:r>
        <w:rPr>
          <w:noProof/>
        </w:rPr>
        <w:fldChar w:fldCharType="separate"/>
      </w:r>
      <w:r w:rsidR="000C3A8C">
        <w:rPr>
          <w:noProof/>
        </w:rPr>
        <w:t>82</w:t>
      </w:r>
      <w:r>
        <w:rPr>
          <w:noProof/>
        </w:rPr>
        <w:fldChar w:fldCharType="end"/>
      </w:r>
    </w:p>
    <w:p w:rsidR="00A02ECF" w:rsidRDefault="006104A2">
      <w:pPr>
        <w:pStyle w:val="24"/>
        <w:tabs>
          <w:tab w:val="right" w:leader="dot" w:pos="9204"/>
        </w:tabs>
        <w:rPr>
          <w:rFonts w:asciiTheme="minorHAnsi" w:eastAsiaTheme="minorEastAsia" w:hAnsiTheme="minorHAnsi" w:cstheme="minorBidi"/>
          <w:noProof/>
          <w:sz w:val="24"/>
          <w:szCs w:val="24"/>
          <w14:ligatures w14:val="standardContextual"/>
        </w:rPr>
      </w:pPr>
      <w:r>
        <w:rPr>
          <w:noProof/>
          <w:color w:val="000000"/>
        </w:rPr>
        <w:t>4.5. Сведения об организациях, осуществляющих учет прав на эмиссионные ценные бумаги эмитента</w:t>
      </w:r>
      <w:r>
        <w:rPr>
          <w:noProof/>
        </w:rPr>
        <w:tab/>
      </w:r>
      <w:r>
        <w:rPr>
          <w:noProof/>
        </w:rPr>
        <w:fldChar w:fldCharType="begin"/>
      </w:r>
      <w:r>
        <w:rPr>
          <w:noProof/>
        </w:rPr>
        <w:instrText xml:space="preserve"> PAGEREF _Toc230104345 \h </w:instrText>
      </w:r>
      <w:r>
        <w:rPr>
          <w:noProof/>
        </w:rPr>
      </w:r>
      <w:r>
        <w:rPr>
          <w:noProof/>
        </w:rPr>
        <w:fldChar w:fldCharType="separate"/>
      </w:r>
      <w:r w:rsidR="000C3A8C">
        <w:rPr>
          <w:noProof/>
        </w:rPr>
        <w:t>83</w:t>
      </w:r>
      <w:r>
        <w:rPr>
          <w:noProof/>
        </w:rPr>
        <w:fldChar w:fldCharType="end"/>
      </w:r>
    </w:p>
    <w:p w:rsidR="00A02ECF" w:rsidRDefault="006104A2">
      <w:pPr>
        <w:pStyle w:val="24"/>
        <w:tabs>
          <w:tab w:val="right" w:leader="dot" w:pos="9204"/>
        </w:tabs>
        <w:rPr>
          <w:rFonts w:asciiTheme="minorHAnsi" w:eastAsiaTheme="minorEastAsia" w:hAnsiTheme="minorHAnsi" w:cstheme="minorBidi"/>
          <w:noProof/>
          <w:sz w:val="24"/>
          <w:szCs w:val="24"/>
          <w14:ligatures w14:val="standardContextual"/>
        </w:rPr>
      </w:pPr>
      <w:r>
        <w:rPr>
          <w:noProof/>
          <w:color w:val="000000"/>
        </w:rPr>
        <w:t>4.5.1. Сведения о регистраторе, осуществляющем ведение реестра владельцев ценных бумаг эмитента</w:t>
      </w:r>
      <w:r>
        <w:rPr>
          <w:noProof/>
        </w:rPr>
        <w:tab/>
      </w:r>
      <w:r>
        <w:rPr>
          <w:noProof/>
        </w:rPr>
        <w:fldChar w:fldCharType="begin"/>
      </w:r>
      <w:r>
        <w:rPr>
          <w:noProof/>
        </w:rPr>
        <w:instrText xml:space="preserve"> PAGEREF _Toc230104346 \h </w:instrText>
      </w:r>
      <w:r>
        <w:rPr>
          <w:noProof/>
        </w:rPr>
      </w:r>
      <w:r>
        <w:rPr>
          <w:noProof/>
        </w:rPr>
        <w:fldChar w:fldCharType="separate"/>
      </w:r>
      <w:r w:rsidR="000C3A8C">
        <w:rPr>
          <w:noProof/>
        </w:rPr>
        <w:t>83</w:t>
      </w:r>
      <w:r>
        <w:rPr>
          <w:noProof/>
        </w:rPr>
        <w:fldChar w:fldCharType="end"/>
      </w:r>
    </w:p>
    <w:p w:rsidR="00A02ECF" w:rsidRDefault="006104A2">
      <w:pPr>
        <w:pStyle w:val="24"/>
        <w:tabs>
          <w:tab w:val="right" w:leader="dot" w:pos="9204"/>
        </w:tabs>
        <w:rPr>
          <w:rFonts w:asciiTheme="minorHAnsi" w:eastAsiaTheme="minorEastAsia" w:hAnsiTheme="minorHAnsi" w:cstheme="minorBidi"/>
          <w:noProof/>
          <w:sz w:val="24"/>
          <w:szCs w:val="24"/>
          <w14:ligatures w14:val="standardContextual"/>
        </w:rPr>
      </w:pPr>
      <w:r>
        <w:rPr>
          <w:noProof/>
          <w:color w:val="000000"/>
        </w:rPr>
        <w:t>4.5.2. Сведения о депозитарии, осуществляющем централизованный учет прав на ценные бумаги эмитента</w:t>
      </w:r>
      <w:r>
        <w:rPr>
          <w:noProof/>
        </w:rPr>
        <w:tab/>
      </w:r>
      <w:r>
        <w:rPr>
          <w:noProof/>
        </w:rPr>
        <w:fldChar w:fldCharType="begin"/>
      </w:r>
      <w:r>
        <w:rPr>
          <w:noProof/>
        </w:rPr>
        <w:instrText xml:space="preserve"> PAGEREF _Toc230104347 \h </w:instrText>
      </w:r>
      <w:r>
        <w:rPr>
          <w:noProof/>
        </w:rPr>
      </w:r>
      <w:r>
        <w:rPr>
          <w:noProof/>
        </w:rPr>
        <w:fldChar w:fldCharType="separate"/>
      </w:r>
      <w:r w:rsidR="000C3A8C">
        <w:rPr>
          <w:noProof/>
        </w:rPr>
        <w:t>83</w:t>
      </w:r>
      <w:r>
        <w:rPr>
          <w:noProof/>
        </w:rPr>
        <w:fldChar w:fldCharType="end"/>
      </w:r>
    </w:p>
    <w:p w:rsidR="00A02ECF" w:rsidRDefault="006104A2">
      <w:pPr>
        <w:pStyle w:val="24"/>
        <w:tabs>
          <w:tab w:val="right" w:leader="dot" w:pos="9204"/>
        </w:tabs>
        <w:rPr>
          <w:rFonts w:asciiTheme="minorHAnsi" w:eastAsiaTheme="minorEastAsia" w:hAnsiTheme="minorHAnsi" w:cstheme="minorBidi"/>
          <w:noProof/>
          <w:sz w:val="24"/>
          <w:szCs w:val="24"/>
          <w14:ligatures w14:val="standardContextual"/>
        </w:rPr>
      </w:pPr>
      <w:r>
        <w:rPr>
          <w:noProof/>
          <w:color w:val="000000"/>
        </w:rPr>
        <w:t>4.6. Информация об аудиторе эмитента</w:t>
      </w:r>
      <w:r>
        <w:rPr>
          <w:noProof/>
        </w:rPr>
        <w:tab/>
      </w:r>
      <w:r>
        <w:rPr>
          <w:noProof/>
        </w:rPr>
        <w:fldChar w:fldCharType="begin"/>
      </w:r>
      <w:r>
        <w:rPr>
          <w:noProof/>
        </w:rPr>
        <w:instrText xml:space="preserve"> PAGEREF _Toc230104348 \h </w:instrText>
      </w:r>
      <w:r>
        <w:rPr>
          <w:noProof/>
        </w:rPr>
      </w:r>
      <w:r>
        <w:rPr>
          <w:noProof/>
        </w:rPr>
        <w:fldChar w:fldCharType="separate"/>
      </w:r>
      <w:r w:rsidR="000C3A8C">
        <w:rPr>
          <w:noProof/>
        </w:rPr>
        <w:t>83</w:t>
      </w:r>
      <w:r>
        <w:rPr>
          <w:noProof/>
        </w:rPr>
        <w:fldChar w:fldCharType="end"/>
      </w:r>
    </w:p>
    <w:p w:rsidR="00A02ECF" w:rsidRDefault="006104A2">
      <w:pPr>
        <w:pStyle w:val="13"/>
        <w:tabs>
          <w:tab w:val="right" w:leader="dot" w:pos="9204"/>
        </w:tabs>
        <w:rPr>
          <w:rFonts w:asciiTheme="minorHAnsi" w:eastAsiaTheme="minorEastAsia" w:hAnsiTheme="minorHAnsi" w:cstheme="minorBidi"/>
          <w:noProof/>
          <w:sz w:val="24"/>
          <w:szCs w:val="24"/>
          <w14:ligatures w14:val="standardContextual"/>
        </w:rPr>
      </w:pPr>
      <w:r>
        <w:rPr>
          <w:noProof/>
          <w:color w:val="000000"/>
        </w:rPr>
        <w:t>Раздел 5. Консолидированная финансовая отчетность (финансовая отчетность), бухгалтерская (финансовая) отчетность эмитента</w:t>
      </w:r>
      <w:r>
        <w:rPr>
          <w:noProof/>
        </w:rPr>
        <w:tab/>
      </w:r>
      <w:r>
        <w:rPr>
          <w:noProof/>
        </w:rPr>
        <w:fldChar w:fldCharType="begin"/>
      </w:r>
      <w:r>
        <w:rPr>
          <w:noProof/>
        </w:rPr>
        <w:instrText xml:space="preserve"> PAGEREF _Toc230104349 \h </w:instrText>
      </w:r>
      <w:r>
        <w:rPr>
          <w:noProof/>
        </w:rPr>
      </w:r>
      <w:r>
        <w:rPr>
          <w:noProof/>
        </w:rPr>
        <w:fldChar w:fldCharType="separate"/>
      </w:r>
      <w:r w:rsidR="000C3A8C">
        <w:rPr>
          <w:noProof/>
        </w:rPr>
        <w:t>89</w:t>
      </w:r>
      <w:r>
        <w:rPr>
          <w:noProof/>
        </w:rPr>
        <w:fldChar w:fldCharType="end"/>
      </w:r>
    </w:p>
    <w:p w:rsidR="00A02ECF" w:rsidRDefault="006104A2">
      <w:pPr>
        <w:pStyle w:val="24"/>
        <w:tabs>
          <w:tab w:val="right" w:leader="dot" w:pos="9204"/>
        </w:tabs>
        <w:rPr>
          <w:rFonts w:asciiTheme="minorHAnsi" w:eastAsiaTheme="minorEastAsia" w:hAnsiTheme="minorHAnsi" w:cstheme="minorBidi"/>
          <w:noProof/>
          <w:sz w:val="24"/>
          <w:szCs w:val="24"/>
          <w14:ligatures w14:val="standardContextual"/>
        </w:rPr>
      </w:pPr>
      <w:r>
        <w:rPr>
          <w:noProof/>
          <w:color w:val="000000"/>
        </w:rPr>
        <w:t>5.1. Консолидированная финансовая отчетность (финансовая отчетность) эмитента</w:t>
      </w:r>
      <w:r>
        <w:rPr>
          <w:noProof/>
        </w:rPr>
        <w:tab/>
      </w:r>
      <w:r>
        <w:rPr>
          <w:noProof/>
        </w:rPr>
        <w:fldChar w:fldCharType="begin"/>
      </w:r>
      <w:r>
        <w:rPr>
          <w:noProof/>
        </w:rPr>
        <w:instrText xml:space="preserve"> PAGEREF _Toc230104350 \h </w:instrText>
      </w:r>
      <w:r>
        <w:rPr>
          <w:noProof/>
        </w:rPr>
      </w:r>
      <w:r>
        <w:rPr>
          <w:noProof/>
        </w:rPr>
        <w:fldChar w:fldCharType="separate"/>
      </w:r>
      <w:r w:rsidR="000C3A8C">
        <w:rPr>
          <w:noProof/>
        </w:rPr>
        <w:t>89</w:t>
      </w:r>
      <w:r>
        <w:rPr>
          <w:noProof/>
        </w:rPr>
        <w:fldChar w:fldCharType="end"/>
      </w:r>
    </w:p>
    <w:p w:rsidR="00A02ECF" w:rsidRDefault="006104A2">
      <w:pPr>
        <w:pStyle w:val="24"/>
        <w:tabs>
          <w:tab w:val="right" w:leader="dot" w:pos="9204"/>
        </w:tabs>
        <w:rPr>
          <w:rFonts w:asciiTheme="minorHAnsi" w:eastAsiaTheme="minorEastAsia" w:hAnsiTheme="minorHAnsi" w:cstheme="minorBidi"/>
          <w:noProof/>
          <w:sz w:val="24"/>
          <w:szCs w:val="24"/>
          <w14:ligatures w14:val="standardContextual"/>
        </w:rPr>
      </w:pPr>
      <w:r>
        <w:rPr>
          <w:noProof/>
          <w:color w:val="000000"/>
        </w:rPr>
        <w:t>5.2. Бухгалтерская (финансовая) отчетность</w:t>
      </w:r>
      <w:r>
        <w:rPr>
          <w:noProof/>
        </w:rPr>
        <w:tab/>
      </w:r>
      <w:r>
        <w:rPr>
          <w:noProof/>
        </w:rPr>
        <w:fldChar w:fldCharType="begin"/>
      </w:r>
      <w:r>
        <w:rPr>
          <w:noProof/>
        </w:rPr>
        <w:instrText xml:space="preserve"> PAGEREF _Toc230104351 \h </w:instrText>
      </w:r>
      <w:r>
        <w:rPr>
          <w:noProof/>
        </w:rPr>
      </w:r>
      <w:r>
        <w:rPr>
          <w:noProof/>
        </w:rPr>
        <w:fldChar w:fldCharType="separate"/>
      </w:r>
      <w:r w:rsidR="000C3A8C">
        <w:rPr>
          <w:noProof/>
        </w:rPr>
        <w:t>89</w:t>
      </w:r>
      <w:r>
        <w:rPr>
          <w:noProof/>
        </w:rPr>
        <w:fldChar w:fldCharType="end"/>
      </w:r>
    </w:p>
    <w:p w:rsidR="00A02ECF" w:rsidRDefault="006104A2">
      <w:pPr>
        <w:pStyle w:val="13"/>
        <w:tabs>
          <w:tab w:val="right" w:leader="dot" w:pos="9204"/>
        </w:tabs>
        <w:rPr>
          <w:rFonts w:asciiTheme="minorHAnsi" w:eastAsiaTheme="minorEastAsia" w:hAnsiTheme="minorHAnsi" w:cstheme="minorBidi"/>
          <w:noProof/>
          <w:sz w:val="24"/>
          <w:szCs w:val="24"/>
          <w14:ligatures w14:val="standardContextual"/>
        </w:rPr>
      </w:pPr>
      <w:r>
        <w:rPr>
          <w:noProof/>
          <w:color w:val="000000"/>
        </w:rPr>
        <w:t>Приложение № 1. Информация о заключенных ПАО «Газпром» в 2025 году сделках, в совершении которых имеется заинтересованность.</w:t>
      </w:r>
      <w:r>
        <w:rPr>
          <w:noProof/>
        </w:rPr>
        <w:tab/>
      </w:r>
      <w:r>
        <w:rPr>
          <w:noProof/>
        </w:rPr>
        <w:fldChar w:fldCharType="begin"/>
      </w:r>
      <w:r>
        <w:rPr>
          <w:noProof/>
        </w:rPr>
        <w:instrText xml:space="preserve"> PAGEREF _Toc230104352 \h </w:instrText>
      </w:r>
      <w:r>
        <w:rPr>
          <w:noProof/>
        </w:rPr>
      </w:r>
      <w:r>
        <w:rPr>
          <w:noProof/>
        </w:rPr>
        <w:fldChar w:fldCharType="separate"/>
      </w:r>
      <w:r w:rsidR="000C3A8C">
        <w:rPr>
          <w:noProof/>
        </w:rPr>
        <w:t>90</w:t>
      </w:r>
      <w:r>
        <w:rPr>
          <w:noProof/>
        </w:rPr>
        <w:fldChar w:fldCharType="end"/>
      </w:r>
    </w:p>
    <w:p w:rsidR="00A02ECF" w:rsidRDefault="006104A2">
      <w:pPr>
        <w:pStyle w:val="1"/>
        <w:tabs>
          <w:tab w:val="left" w:pos="284"/>
        </w:tabs>
        <w:rPr>
          <w:color w:val="000000"/>
        </w:rPr>
      </w:pPr>
      <w:r>
        <w:rPr>
          <w:color w:val="000000"/>
        </w:rPr>
        <w:fldChar w:fldCharType="end"/>
      </w:r>
      <w:r>
        <w:rPr>
          <w:color w:val="000000"/>
        </w:rPr>
        <w:br w:type="page" w:clear="all"/>
      </w:r>
      <w:bookmarkStart w:id="2" w:name="_Toc230104289"/>
      <w:r>
        <w:rPr>
          <w:color w:val="000000"/>
        </w:rPr>
        <w:lastRenderedPageBreak/>
        <w:t>Введение</w:t>
      </w:r>
      <w:bookmarkEnd w:id="2"/>
    </w:p>
    <w:p w:rsidR="00A02ECF" w:rsidRDefault="006104A2">
      <w:pPr>
        <w:pStyle w:val="ConsPlusNormal"/>
        <w:spacing w:before="160"/>
        <w:ind w:left="0"/>
        <w:jc w:val="both"/>
        <w:rPr>
          <w:sz w:val="20"/>
          <w:szCs w:val="20"/>
        </w:rPr>
      </w:pPr>
      <w:r>
        <w:rPr>
          <w:rFonts w:eastAsia="Times New Roman"/>
          <w:sz w:val="20"/>
          <w:szCs w:val="20"/>
        </w:rPr>
        <w:t>Информация, содержащаяся в отчете эмитента, подлежит раскрытию в соответствии с пунктом 4 статьи 30 Федерального закона «О рынке ценных бумаг».</w:t>
      </w:r>
    </w:p>
    <w:p w:rsidR="00A02ECF" w:rsidRDefault="006104A2">
      <w:pPr>
        <w:pStyle w:val="SubHeading"/>
        <w:jc w:val="both"/>
      </w:pPr>
      <w:r>
        <w:t xml:space="preserve">Основания возникновения у эмитента обязанности осуществлять раскрытие информации в форме отчета эмитента: </w:t>
      </w:r>
    </w:p>
    <w:p w:rsidR="00A02ECF" w:rsidRDefault="006104A2">
      <w:pPr>
        <w:jc w:val="both"/>
        <w:rPr>
          <w:rStyle w:val="Subst"/>
        </w:rPr>
      </w:pPr>
      <w:r>
        <w:rPr>
          <w:rStyle w:val="Subst"/>
        </w:rPr>
        <w:t>В отношении ценных бумаг эмитента осуществлена регистрация проспекта ценных бумаг.</w:t>
      </w:r>
    </w:p>
    <w:p w:rsidR="00A02ECF" w:rsidRDefault="006104A2">
      <w:pPr>
        <w:jc w:val="both"/>
        <w:rPr>
          <w:rStyle w:val="Subst"/>
        </w:rPr>
      </w:pPr>
      <w:r>
        <w:rPr>
          <w:rStyle w:val="Subst"/>
        </w:rPr>
        <w:t>Эмитент является публичным акционерным обществом.</w:t>
      </w:r>
    </w:p>
    <w:p w:rsidR="00A02ECF" w:rsidRDefault="00A02ECF">
      <w:pPr>
        <w:spacing w:before="0" w:after="0"/>
      </w:pPr>
    </w:p>
    <w:p w:rsidR="00A02ECF" w:rsidRDefault="006104A2">
      <w:pPr>
        <w:jc w:val="both"/>
      </w:pPr>
      <w:r>
        <w:t>Сведения об отчетности (консолидированной финансовой отчетности (финансовой отчетности), бухгалтерской (финансовой) отчетности), которая (ссылка на которую) содержится в отчете эмитента и на основании которой в отчете эмитента раскрывается информация о финансово-хозяйственной деятельности эмитента:</w:t>
      </w:r>
    </w:p>
    <w:p w:rsidR="00A02ECF" w:rsidRDefault="006104A2">
      <w:pPr>
        <w:jc w:val="both"/>
        <w:rPr>
          <w:b/>
          <w:i/>
        </w:rPr>
      </w:pPr>
      <w:bookmarkStart w:id="3" w:name="undefined"/>
      <w:r>
        <w:rPr>
          <w:b/>
          <w:i/>
        </w:rPr>
        <w:t xml:space="preserve">Консолидированная финансовая отчетность, подготовленная в соответствии со </w:t>
      </w:r>
      <w:r>
        <w:rPr>
          <w:b/>
          <w:i/>
          <w:iCs/>
        </w:rPr>
        <w:t>стандартами финансовой отчетности МСФО</w:t>
      </w:r>
      <w:r>
        <w:rPr>
          <w:b/>
          <w:i/>
        </w:rPr>
        <w:t xml:space="preserve"> с аудиторским заключением независимого аудитора на 31.12.2025.</w:t>
      </w:r>
    </w:p>
    <w:p w:rsidR="00A02ECF" w:rsidRDefault="006104A2">
      <w:pPr>
        <w:spacing w:before="120"/>
        <w:jc w:val="both"/>
      </w:pPr>
      <w:r>
        <w:t>Ссылка на отчетность: https://</w:t>
      </w:r>
      <w:r w:rsidR="00FD17D8">
        <w:rPr>
          <w:lang w:val="en-US"/>
        </w:rPr>
        <w:t>www</w:t>
      </w:r>
      <w:r w:rsidR="00FD17D8" w:rsidRPr="00FD17D8">
        <w:t>.</w:t>
      </w:r>
      <w:r>
        <w:t>e-disclosure.ru/portal/files.aspx?id=934&amp;type=4</w:t>
      </w:r>
    </w:p>
    <w:p w:rsidR="00A02ECF" w:rsidRDefault="006104A2">
      <w:pPr>
        <w:spacing w:before="120" w:after="0"/>
        <w:jc w:val="both"/>
        <w:rPr>
          <w:b/>
          <w:i/>
        </w:rPr>
      </w:pPr>
      <w:r>
        <w:rPr>
          <w:b/>
          <w:i/>
        </w:rPr>
        <w:t xml:space="preserve">Информация о финансово-хозяйственной деятельности эмитента отражает его деятельность в качестве организации, которая вместе с другими организациями в соответствии со </w:t>
      </w:r>
      <w:r>
        <w:rPr>
          <w:b/>
          <w:i/>
          <w:iCs/>
        </w:rPr>
        <w:t>стандартами финансовой отчетности МСФО</w:t>
      </w:r>
      <w:r>
        <w:rPr>
          <w:b/>
          <w:i/>
        </w:rPr>
        <w:t xml:space="preserve"> определяется как группа. </w:t>
      </w:r>
    </w:p>
    <w:p w:rsidR="00A02ECF" w:rsidRDefault="006104A2">
      <w:pPr>
        <w:spacing w:before="120" w:after="0"/>
        <w:jc w:val="both"/>
        <w:rPr>
          <w:b/>
          <w:i/>
        </w:rPr>
      </w:pPr>
      <w:r>
        <w:rPr>
          <w:b/>
          <w:i/>
        </w:rPr>
        <w:t xml:space="preserve">Консолидированная финансовая отчетность, на основании которой в настоящем отчете эмитента раскрыта информация о финансово-хозяйственной деятельности эмитента, дает объективное и достоверное представление об активах, обязательствах, финансовом состоянии, прибыли или убытке эмитента. Информация о финансовом состоянии и результатах деятельности эмитента содержит достоверное представление о деятельности эмитента, а также об основных рисках, связанных с его деятельностью. </w:t>
      </w:r>
    </w:p>
    <w:p w:rsidR="00A02ECF" w:rsidRDefault="006104A2">
      <w:pPr>
        <w:spacing w:before="120" w:after="0"/>
        <w:jc w:val="both"/>
        <w:rPr>
          <w:b/>
          <w:i/>
        </w:rPr>
      </w:pPr>
      <w:r>
        <w:rPr>
          <w:b/>
          <w:i/>
        </w:rPr>
        <w:t xml:space="preserve">Настоящий отчет эмитента содержит оценки и прогнозы в отношении будущих событий и (или) действий, перспектив развития отрасли экономики, в которой эмитент осуществляет основную деятельность, и результатов деятельности эмитента, его планов, вероятности наступления определенных событий и совершения определенных действий. </w:t>
      </w:r>
    </w:p>
    <w:p w:rsidR="00A02ECF" w:rsidRDefault="006104A2">
      <w:pPr>
        <w:spacing w:before="120" w:after="0"/>
        <w:jc w:val="both"/>
        <w:rPr>
          <w:b/>
          <w:i/>
        </w:rPr>
      </w:pPr>
      <w:r>
        <w:rPr>
          <w:b/>
          <w:i/>
        </w:rPr>
        <w:t>Инвесторы не должны полностью полагаться на оценки и прогнозы, приведенные в настоящем отчете эмитента, так как фактические результаты деятельности эмитента в будущем могут отличаться от прогнозируемых результатов по многим причинам. Приобретение ценных бумаг эмитента связано с рисками, в том числе описанными в настоящем отчете эмитента.</w:t>
      </w:r>
    </w:p>
    <w:p w:rsidR="00A02ECF" w:rsidRDefault="00A02ECF">
      <w:pPr>
        <w:spacing w:before="0" w:after="0"/>
        <w:jc w:val="both"/>
      </w:pPr>
    </w:p>
    <w:p w:rsidR="00A02ECF" w:rsidRDefault="006104A2">
      <w:pPr>
        <w:jc w:val="both"/>
      </w:pPr>
      <w:r>
        <w:t>Иная информация, которая, по мнению эмитента, будет полезна для заинтересованных лиц при принятии ими экономических решений:</w:t>
      </w:r>
      <w:r>
        <w:rPr>
          <w:b/>
          <w:i/>
        </w:rPr>
        <w:t xml:space="preserve"> </w:t>
      </w:r>
    </w:p>
    <w:p w:rsidR="00A02ECF" w:rsidRDefault="006104A2">
      <w:pPr>
        <w:spacing w:before="120"/>
        <w:jc w:val="both"/>
        <w:rPr>
          <w:b/>
          <w:i/>
        </w:rPr>
      </w:pPr>
      <w:r>
        <w:rPr>
          <w:b/>
          <w:i/>
        </w:rPr>
        <w:t>В настоящем отчете эмитента термин ПАО «Газпром» относится к материнской организации Группы Газпром - Публичному акционерному обществу «Газпром» (также далее - Эмитент, ПАО «Газпром», ПАО</w:t>
      </w:r>
      <w:r>
        <w:rPr>
          <w:b/>
          <w:i/>
          <w:lang w:val="en-US"/>
        </w:rPr>
        <w:t> </w:t>
      </w:r>
      <w:r>
        <w:rPr>
          <w:b/>
          <w:i/>
        </w:rPr>
        <w:t xml:space="preserve">«Газпром» (материнская организация), Общество, Компания), если иное не явствует из контекста. Под Группой Газпром, Группой или Газпромом следует понимать ПАО «Газпром» и его дочерние организации (организации, находящиеся под контролем ПАО «Газпром»), входящие в периметр консолидации в целях подготовки консолидированной финансовой отчетности Группы Газпром в соответствии со стандартами финансовой отчетности МСФО. </w:t>
      </w:r>
    </w:p>
    <w:p w:rsidR="00A02ECF" w:rsidRDefault="006104A2">
      <w:pPr>
        <w:spacing w:before="120"/>
        <w:jc w:val="both"/>
        <w:rPr>
          <w:b/>
          <w:i/>
        </w:rPr>
      </w:pPr>
      <w:r>
        <w:rPr>
          <w:b/>
          <w:i/>
        </w:rPr>
        <w:t xml:space="preserve">Некоторые показатели деятельности ПАО «Газпром» и его дочерних организаций приводятся в соответствии с принципами, используемыми при подготовке управленческой отчетности. </w:t>
      </w:r>
    </w:p>
    <w:p w:rsidR="00A02ECF" w:rsidRDefault="006104A2">
      <w:pPr>
        <w:spacing w:before="120"/>
        <w:jc w:val="both"/>
        <w:rPr>
          <w:b/>
          <w:i/>
        </w:rPr>
      </w:pPr>
      <w:r>
        <w:rPr>
          <w:b/>
          <w:i/>
        </w:rPr>
        <w:t xml:space="preserve">Величина некоторых из раскрываемых в настоящем Отчете эмитента показателей может быть несопоставима с аналогичными показателями, раскрытыми в Отчетах эмитента за предыдущие периоды по причине внесения изменений в методику их расчета и их пересчета для сопоставимости с отчётным периодом. </w:t>
      </w:r>
    </w:p>
    <w:p w:rsidR="00A02ECF" w:rsidRDefault="006104A2">
      <w:pPr>
        <w:spacing w:before="120"/>
        <w:jc w:val="both"/>
        <w:rPr>
          <w:b/>
          <w:i/>
        </w:rPr>
      </w:pPr>
      <w:r>
        <w:rPr>
          <w:b/>
          <w:i/>
        </w:rPr>
        <w:t>В настоящем Отчете эмитента информация, приведенная в пунктах 2.1–2.4, 3.1–3.5, 4.1–4.5 и 5.2, раскрывается в отношении ПАО «Газпром» (не в отношении Группы Газпром) в соответствии с Приложением 3 к Положению о раскрытии информации эмитентами эмиссионных ценных бумаг от</w:t>
      </w:r>
      <w:r>
        <w:rPr>
          <w:b/>
          <w:i/>
          <w:lang w:val="en-US"/>
        </w:rPr>
        <w:t> </w:t>
      </w:r>
      <w:r>
        <w:rPr>
          <w:b/>
          <w:i/>
        </w:rPr>
        <w:t>27</w:t>
      </w:r>
      <w:r>
        <w:rPr>
          <w:b/>
          <w:i/>
          <w:lang w:val="en-US"/>
        </w:rPr>
        <w:t> </w:t>
      </w:r>
      <w:r>
        <w:rPr>
          <w:b/>
          <w:i/>
        </w:rPr>
        <w:t>марта 2020 г. № 714-П.</w:t>
      </w:r>
    </w:p>
    <w:p w:rsidR="00A02ECF" w:rsidRDefault="006104A2">
      <w:pPr>
        <w:spacing w:before="120" w:after="0"/>
        <w:jc w:val="both"/>
        <w:rPr>
          <w:b/>
          <w:bCs/>
          <w:i/>
          <w:iCs/>
        </w:rPr>
      </w:pPr>
      <w:r>
        <w:rPr>
          <w:b/>
          <w:bCs/>
          <w:i/>
          <w:iCs/>
        </w:rPr>
        <w:t xml:space="preserve">Номинальные держатели представляют информацию о своих клиентах в строгом соответствии </w:t>
      </w:r>
      <w:r>
        <w:rPr>
          <w:b/>
          <w:bCs/>
          <w:i/>
          <w:iCs/>
        </w:rPr>
        <w:lastRenderedPageBreak/>
        <w:t>с действующим законодательством Российской Федерации, т.е. при составлении списков лиц, имеющих право голоса при принятии решений общим собранием акционеров. В связи с этим получение Эмитентом сведений об акционерах из учетных систем номинальных держателей по состоянию на 31.12.2025 и на 30.04.2026 для указания в п. 4.1. настоящего Отчета эмитента не представляется возможным. В настоящем Отчете эмитента данные о доле участия лиц, указанных в п. 4.1, в уставном капитале ПАО «Газпром» представлены в объеме учетной системы регистратора АО «ДРАГА» по состоянию на 31.12.2025 и на 30.04.2026 и с учетом сведений, полученных ПАО «Газпром» от лиц, указанных в п. 4.1 Отчета эмитента.</w:t>
      </w:r>
    </w:p>
    <w:p w:rsidR="00A02ECF" w:rsidRDefault="00A02ECF">
      <w:pPr>
        <w:spacing w:before="120"/>
        <w:jc w:val="both"/>
        <w:rPr>
          <w:b/>
          <w:i/>
        </w:rPr>
      </w:pPr>
    </w:p>
    <w:p w:rsidR="00A02ECF" w:rsidRDefault="006104A2">
      <w:pPr>
        <w:pStyle w:val="1"/>
        <w:rPr>
          <w:color w:val="000000"/>
        </w:rPr>
      </w:pPr>
      <w:bookmarkStart w:id="4" w:name="_Toc230104290"/>
      <w:r>
        <w:rPr>
          <w:color w:val="000000"/>
        </w:rPr>
        <w:t>Раздел 1. Управленческий отчет эмитента</w:t>
      </w:r>
      <w:bookmarkEnd w:id="3"/>
      <w:bookmarkEnd w:id="4"/>
    </w:p>
    <w:p w:rsidR="00A02ECF" w:rsidRDefault="006104A2">
      <w:pPr>
        <w:pStyle w:val="2"/>
        <w:jc w:val="both"/>
        <w:rPr>
          <w:color w:val="000000"/>
        </w:rPr>
      </w:pPr>
      <w:bookmarkStart w:id="5" w:name="_Toc230104291"/>
      <w:r>
        <w:rPr>
          <w:color w:val="000000"/>
        </w:rPr>
        <w:t>1.1. Общие сведения об эмитенте и его деятельности</w:t>
      </w:r>
      <w:bookmarkEnd w:id="5"/>
    </w:p>
    <w:p w:rsidR="00C63069" w:rsidRDefault="00C63069" w:rsidP="00C63069">
      <w:pPr>
        <w:spacing w:before="0" w:after="0"/>
        <w:rPr>
          <w:b/>
          <w:bCs/>
        </w:rPr>
      </w:pPr>
    </w:p>
    <w:p w:rsidR="00C63069" w:rsidRDefault="00C63069" w:rsidP="00C63069">
      <w:pPr>
        <w:spacing w:before="0"/>
        <w:jc w:val="both"/>
      </w:pPr>
      <w:r>
        <w:rPr>
          <w:b/>
          <w:bCs/>
        </w:rPr>
        <w:t>Информация не раскрывается в полном объеме на основании пункта 6 статьи 30.1 Федерального закона «О рынке ценных бумаг».</w:t>
      </w:r>
    </w:p>
    <w:p w:rsidR="00C63069" w:rsidRDefault="00C63069">
      <w:pPr>
        <w:spacing w:before="120"/>
      </w:pPr>
    </w:p>
    <w:p w:rsidR="00A02ECF" w:rsidRDefault="006104A2">
      <w:pPr>
        <w:spacing w:before="120"/>
      </w:pPr>
      <w:r>
        <w:t>Полное фирменное наименование эмитента:</w:t>
      </w:r>
      <w:r>
        <w:rPr>
          <w:rStyle w:val="Subst"/>
        </w:rPr>
        <w:t xml:space="preserve"> Публичное акционерное общество «Газпром»</w:t>
      </w:r>
    </w:p>
    <w:p w:rsidR="00A02ECF" w:rsidRDefault="006104A2">
      <w:pPr>
        <w:spacing w:before="120"/>
        <w:rPr>
          <w:rStyle w:val="Subst"/>
        </w:rPr>
      </w:pPr>
      <w:r>
        <w:t>Сокращенное фирменное наименование эмитента:</w:t>
      </w:r>
      <w:r>
        <w:rPr>
          <w:rStyle w:val="Subst"/>
        </w:rPr>
        <w:t xml:space="preserve"> ПАО «Газпром»</w:t>
      </w:r>
    </w:p>
    <w:p w:rsidR="00A02ECF" w:rsidRDefault="006104A2">
      <w:pPr>
        <w:spacing w:before="120"/>
      </w:pPr>
      <w:r>
        <w:t>Сокращенное фирменное наименование:</w:t>
      </w:r>
      <w:r>
        <w:rPr>
          <w:rStyle w:val="Subst"/>
        </w:rPr>
        <w:t xml:space="preserve"> PJSC «GAZPROM»</w:t>
      </w:r>
    </w:p>
    <w:p w:rsidR="00A02ECF" w:rsidRDefault="006104A2">
      <w:pPr>
        <w:pStyle w:val="SubHeading"/>
        <w:spacing w:before="120"/>
      </w:pPr>
      <w:r>
        <w:t xml:space="preserve">Место нахождения эмитента: </w:t>
      </w:r>
      <w:r>
        <w:rPr>
          <w:rStyle w:val="Subst"/>
        </w:rPr>
        <w:t>Российская Федерация, г. Санкт-Петербург</w:t>
      </w:r>
    </w:p>
    <w:p w:rsidR="00A02ECF" w:rsidRDefault="006104A2">
      <w:pPr>
        <w:pStyle w:val="SubHeading"/>
        <w:spacing w:before="120"/>
        <w:rPr>
          <w:rStyle w:val="Subst"/>
        </w:rPr>
      </w:pPr>
      <w:r>
        <w:t xml:space="preserve">Адрес эмитента: </w:t>
      </w:r>
      <w:r>
        <w:rPr>
          <w:rStyle w:val="Subst"/>
        </w:rPr>
        <w:t>197229, г. Санкт-Петербург, вн. тер. г. муниципальный округ Лахта-Ольгино, пр-кт Лахтинский, д.</w:t>
      </w:r>
      <w:r>
        <w:rPr>
          <w:rStyle w:val="Subst"/>
          <w:lang w:val="en-US"/>
        </w:rPr>
        <w:t> </w:t>
      </w:r>
      <w:r>
        <w:rPr>
          <w:rStyle w:val="Subst"/>
        </w:rPr>
        <w:t>2, к. 3, стр. 1</w:t>
      </w:r>
    </w:p>
    <w:p w:rsidR="00A02ECF" w:rsidRDefault="006104A2">
      <w:pPr>
        <w:pStyle w:val="SubHeading"/>
        <w:spacing w:before="120" w:after="0"/>
      </w:pPr>
      <w:r>
        <w:t>Сведения о способе и дате создания эмитента:</w:t>
      </w:r>
    </w:p>
    <w:p w:rsidR="00A02ECF" w:rsidRDefault="006104A2">
      <w:pPr>
        <w:spacing w:before="60"/>
        <w:jc w:val="both"/>
        <w:rPr>
          <w:b/>
          <w:bCs/>
          <w:i/>
          <w:iCs/>
        </w:rPr>
      </w:pPr>
      <w:bookmarkStart w:id="6" w:name="_Hlk182497112"/>
      <w:r>
        <w:rPr>
          <w:b/>
          <w:bCs/>
          <w:i/>
          <w:iCs/>
        </w:rPr>
        <w:t xml:space="preserve">РАО «Газпром» (далее по тексту – ПАО «Газпром») создано в соответствии с Указом Президента Российской Федерации от 5 ноября 1992 года № 1333 «О преобразовании Государственного газового концерна «Газпром» в Российское акционерное общество «Газпром» (далее - Указ № 1333) и постановлением Совета Министров - Правительства Российской Федерации от 17 февраля 1993 года № 138 «Об учреждении Российского акционерного общества «Газпром». </w:t>
      </w:r>
    </w:p>
    <w:p w:rsidR="00A02ECF" w:rsidRDefault="006104A2">
      <w:pPr>
        <w:spacing w:before="120"/>
        <w:jc w:val="both"/>
        <w:rPr>
          <w:b/>
          <w:bCs/>
          <w:i/>
          <w:iCs/>
        </w:rPr>
      </w:pPr>
      <w:r>
        <w:rPr>
          <w:b/>
          <w:bCs/>
          <w:i/>
          <w:iCs/>
        </w:rPr>
        <w:t>В соответствии с Указом № 1333 на ПАО «Газпром» была возложена ответственность за обеспечение контроля за функционированием Единой системы газоснабжения России (ЕСГ). Ранее эти функции осуществлял Государственный газовый концерн «Газпром» (далее - ГГК «Газпром») - государственное предприятие, в обязанности которого входила эксплуатация и развитие ЕСГ до момента реорганизации в 1993 году. В соответствии с положениями Указа № 1333 и Указа Президента Российской Федерации от 6 декабря 1993 года № 2116 на ПАО «Газпром» возложена ответственность за обеспечение экспортных поставок газа, которые осуществляются через 100% дочернее общество ООО «Газэкспорт» (в настоящее время ООО «Газпром экспорт»). ПАО «Газпром» было определено государственным заказчиком по поставкам на экспорт природного газа.</w:t>
      </w:r>
    </w:p>
    <w:p w:rsidR="00A02ECF" w:rsidRDefault="006104A2">
      <w:pPr>
        <w:spacing w:before="120"/>
        <w:jc w:val="both"/>
        <w:rPr>
          <w:b/>
          <w:bCs/>
          <w:i/>
          <w:iCs/>
        </w:rPr>
      </w:pPr>
      <w:r>
        <w:rPr>
          <w:b/>
          <w:bCs/>
          <w:i/>
          <w:iCs/>
        </w:rPr>
        <w:t>Указ № 1333 ставил перед ПАО «Газпром» следующие основные задачи:</w:t>
      </w:r>
    </w:p>
    <w:p w:rsidR="00A02ECF" w:rsidRDefault="006104A2">
      <w:pPr>
        <w:pStyle w:val="SubtleEmphasisListParagraph1BulletIRAOACList011head5113TITLE222"/>
        <w:numPr>
          <w:ilvl w:val="0"/>
          <w:numId w:val="6"/>
        </w:numPr>
        <w:tabs>
          <w:tab w:val="left" w:pos="720"/>
          <w:tab w:val="left" w:pos="870"/>
        </w:tabs>
        <w:spacing w:before="40" w:after="0" w:line="240" w:lineRule="auto"/>
        <w:ind w:left="709" w:hanging="360"/>
        <w:contextualSpacing w:val="0"/>
        <w:jc w:val="both"/>
        <w:rPr>
          <w:rFonts w:ascii="Times New Roman" w:hAnsi="Times New Roman"/>
          <w:b/>
          <w:bCs/>
          <w:i/>
          <w:iCs/>
          <w:sz w:val="20"/>
          <w:szCs w:val="20"/>
          <w:lang w:val="ru-RU"/>
        </w:rPr>
      </w:pPr>
      <w:r>
        <w:rPr>
          <w:rFonts w:ascii="Times New Roman" w:hAnsi="Times New Roman"/>
          <w:b/>
          <w:bCs/>
          <w:i/>
          <w:iCs/>
          <w:sz w:val="20"/>
          <w:szCs w:val="20"/>
          <w:lang w:val="ru-RU"/>
        </w:rPr>
        <w:t>надежного газоснабжения потребителей Российской Федерации, а также поставок газа за пределы России по межгосударственным и межправительственным соглашениям;</w:t>
      </w:r>
    </w:p>
    <w:p w:rsidR="00A02ECF" w:rsidRDefault="006104A2">
      <w:pPr>
        <w:pStyle w:val="SubtleEmphasisListParagraph1BulletIRAOACList011head5113TITLE222"/>
        <w:numPr>
          <w:ilvl w:val="0"/>
          <w:numId w:val="6"/>
        </w:numPr>
        <w:tabs>
          <w:tab w:val="left" w:pos="720"/>
          <w:tab w:val="left" w:pos="870"/>
        </w:tabs>
        <w:spacing w:before="40" w:after="0" w:line="240" w:lineRule="auto"/>
        <w:ind w:left="709" w:hanging="360"/>
        <w:contextualSpacing w:val="0"/>
        <w:jc w:val="both"/>
        <w:rPr>
          <w:rFonts w:ascii="Times New Roman" w:hAnsi="Times New Roman"/>
          <w:b/>
          <w:bCs/>
          <w:i/>
          <w:iCs/>
          <w:sz w:val="20"/>
          <w:szCs w:val="20"/>
        </w:rPr>
      </w:pPr>
      <w:r>
        <w:rPr>
          <w:rFonts w:ascii="Times New Roman" w:hAnsi="Times New Roman"/>
          <w:b/>
          <w:bCs/>
          <w:i/>
          <w:iCs/>
          <w:sz w:val="20"/>
          <w:szCs w:val="20"/>
          <w:lang w:val="ru-RU"/>
        </w:rPr>
        <w:t xml:space="preserve">обеспечения единой научно-технической и инвестиционной политики по реконструкции и развитию </w:t>
      </w:r>
      <w:r>
        <w:rPr>
          <w:rFonts w:ascii="Times New Roman" w:hAnsi="Times New Roman"/>
          <w:b/>
          <w:bCs/>
          <w:i/>
          <w:iCs/>
          <w:sz w:val="20"/>
          <w:szCs w:val="20"/>
        </w:rPr>
        <w:t>Единой системы газоснабжения;</w:t>
      </w:r>
    </w:p>
    <w:p w:rsidR="00A02ECF" w:rsidRDefault="006104A2">
      <w:pPr>
        <w:pStyle w:val="SubtleEmphasisListParagraph1BulletIRAOACList011head5113TITLE222"/>
        <w:numPr>
          <w:ilvl w:val="0"/>
          <w:numId w:val="6"/>
        </w:numPr>
        <w:tabs>
          <w:tab w:val="left" w:pos="720"/>
          <w:tab w:val="left" w:pos="870"/>
        </w:tabs>
        <w:spacing w:before="40" w:after="0" w:line="240" w:lineRule="auto"/>
        <w:ind w:left="709" w:hanging="360"/>
        <w:contextualSpacing w:val="0"/>
        <w:jc w:val="both"/>
        <w:rPr>
          <w:rFonts w:ascii="Times New Roman" w:hAnsi="Times New Roman"/>
          <w:b/>
          <w:bCs/>
          <w:i/>
          <w:iCs/>
          <w:sz w:val="20"/>
          <w:szCs w:val="20"/>
          <w:lang w:val="ru-RU"/>
        </w:rPr>
      </w:pPr>
      <w:r>
        <w:rPr>
          <w:rFonts w:ascii="Times New Roman" w:hAnsi="Times New Roman"/>
          <w:b/>
          <w:bCs/>
          <w:i/>
          <w:iCs/>
          <w:sz w:val="20"/>
          <w:szCs w:val="20"/>
          <w:lang w:val="ru-RU"/>
        </w:rPr>
        <w:t>строительства и финансирования газопроводов-отводов высокого давления для газификации села;</w:t>
      </w:r>
    </w:p>
    <w:p w:rsidR="00A02ECF" w:rsidRDefault="006104A2">
      <w:pPr>
        <w:pStyle w:val="SubtleEmphasisListParagraph1BulletIRAOACList011head5113TITLE222"/>
        <w:numPr>
          <w:ilvl w:val="0"/>
          <w:numId w:val="6"/>
        </w:numPr>
        <w:tabs>
          <w:tab w:val="left" w:pos="720"/>
          <w:tab w:val="left" w:pos="870"/>
        </w:tabs>
        <w:spacing w:before="40" w:after="0" w:line="240" w:lineRule="auto"/>
        <w:ind w:left="709" w:hanging="360"/>
        <w:contextualSpacing w:val="0"/>
        <w:jc w:val="both"/>
        <w:rPr>
          <w:rFonts w:ascii="Times New Roman" w:hAnsi="Times New Roman"/>
          <w:b/>
          <w:bCs/>
          <w:i/>
          <w:iCs/>
          <w:sz w:val="20"/>
          <w:szCs w:val="20"/>
          <w:lang w:val="ru-RU"/>
        </w:rPr>
      </w:pPr>
      <w:r>
        <w:rPr>
          <w:rFonts w:ascii="Times New Roman" w:hAnsi="Times New Roman"/>
          <w:b/>
          <w:bCs/>
          <w:i/>
          <w:iCs/>
          <w:sz w:val="20"/>
          <w:szCs w:val="20"/>
          <w:lang w:val="ru-RU"/>
        </w:rPr>
        <w:t>контроля за функционированием Единой системы газоснабжения России;</w:t>
      </w:r>
    </w:p>
    <w:p w:rsidR="00A02ECF" w:rsidRDefault="006104A2">
      <w:pPr>
        <w:pStyle w:val="SubtleEmphasisListParagraph1BulletIRAOACList011head5113TITLE222"/>
        <w:numPr>
          <w:ilvl w:val="0"/>
          <w:numId w:val="6"/>
        </w:numPr>
        <w:tabs>
          <w:tab w:val="left" w:pos="720"/>
          <w:tab w:val="left" w:pos="870"/>
        </w:tabs>
        <w:spacing w:before="40" w:after="0" w:line="240" w:lineRule="auto"/>
        <w:ind w:left="709" w:hanging="360"/>
        <w:contextualSpacing w:val="0"/>
        <w:jc w:val="both"/>
        <w:rPr>
          <w:rFonts w:ascii="Times New Roman" w:hAnsi="Times New Roman"/>
          <w:b/>
          <w:bCs/>
          <w:i/>
          <w:iCs/>
          <w:sz w:val="20"/>
          <w:szCs w:val="20"/>
          <w:lang w:val="ru-RU"/>
        </w:rPr>
      </w:pPr>
      <w:r>
        <w:rPr>
          <w:rFonts w:ascii="Times New Roman" w:hAnsi="Times New Roman"/>
          <w:b/>
          <w:bCs/>
          <w:i/>
          <w:iCs/>
          <w:sz w:val="20"/>
          <w:szCs w:val="20"/>
          <w:lang w:val="ru-RU"/>
        </w:rPr>
        <w:t>доступа любого производителя к газотранспортной системе страны пропорционально объему добываемого им на территории Российской Федерации газа при соблюдении единого механизма регулирования цен.</w:t>
      </w:r>
    </w:p>
    <w:p w:rsidR="00A02ECF" w:rsidRDefault="006104A2">
      <w:pPr>
        <w:spacing w:before="120"/>
        <w:jc w:val="both"/>
        <w:rPr>
          <w:b/>
          <w:bCs/>
          <w:i/>
          <w:iCs/>
        </w:rPr>
      </w:pPr>
      <w:r>
        <w:rPr>
          <w:b/>
          <w:bCs/>
          <w:i/>
          <w:iCs/>
        </w:rPr>
        <w:t>При учреждении ПАО «Газпром» его уставный капитал был сформирован из:</w:t>
      </w:r>
    </w:p>
    <w:p w:rsidR="00A02ECF" w:rsidRDefault="006104A2">
      <w:pPr>
        <w:pStyle w:val="SubtleEmphasisListParagraph1BulletIRAOACList011head5113TITLE222"/>
        <w:numPr>
          <w:ilvl w:val="0"/>
          <w:numId w:val="7"/>
        </w:numPr>
        <w:tabs>
          <w:tab w:val="left" w:pos="720"/>
          <w:tab w:val="left" w:pos="870"/>
        </w:tabs>
        <w:spacing w:before="40" w:after="0" w:line="240" w:lineRule="auto"/>
        <w:ind w:left="709" w:hanging="360"/>
        <w:contextualSpacing w:val="0"/>
        <w:jc w:val="both"/>
        <w:rPr>
          <w:rFonts w:ascii="Times New Roman" w:hAnsi="Times New Roman"/>
          <w:b/>
          <w:bCs/>
          <w:i/>
          <w:iCs/>
          <w:sz w:val="20"/>
          <w:szCs w:val="20"/>
          <w:lang w:val="ru-RU"/>
        </w:rPr>
      </w:pPr>
      <w:r>
        <w:rPr>
          <w:rFonts w:ascii="Times New Roman" w:hAnsi="Times New Roman"/>
          <w:b/>
          <w:bCs/>
          <w:i/>
          <w:iCs/>
          <w:sz w:val="20"/>
          <w:szCs w:val="20"/>
          <w:lang w:val="ru-RU"/>
        </w:rPr>
        <w:t>100 процентов капитала предприятий, состоящего из имущества Единой системы газоснабжения, находящегося в федеральной собственности (приложение № 1 к Указу</w:t>
      </w:r>
      <w:r>
        <w:rPr>
          <w:rFonts w:ascii="Times New Roman" w:hAnsi="Times New Roman"/>
          <w:b/>
          <w:bCs/>
          <w:i/>
          <w:iCs/>
          <w:sz w:val="20"/>
          <w:szCs w:val="20"/>
        </w:rPr>
        <w:t> </w:t>
      </w:r>
      <w:r>
        <w:rPr>
          <w:rFonts w:ascii="Times New Roman" w:hAnsi="Times New Roman"/>
          <w:b/>
          <w:bCs/>
          <w:i/>
          <w:iCs/>
          <w:sz w:val="20"/>
          <w:szCs w:val="20"/>
          <w:lang w:val="ru-RU"/>
        </w:rPr>
        <w:t>№</w:t>
      </w:r>
      <w:r>
        <w:rPr>
          <w:rFonts w:ascii="Times New Roman" w:hAnsi="Times New Roman"/>
          <w:b/>
          <w:bCs/>
          <w:i/>
          <w:iCs/>
          <w:sz w:val="20"/>
          <w:szCs w:val="20"/>
        </w:rPr>
        <w:t> </w:t>
      </w:r>
      <w:r>
        <w:rPr>
          <w:rFonts w:ascii="Times New Roman" w:hAnsi="Times New Roman"/>
          <w:b/>
          <w:bCs/>
          <w:i/>
          <w:iCs/>
          <w:sz w:val="20"/>
          <w:szCs w:val="20"/>
          <w:lang w:val="ru-RU"/>
        </w:rPr>
        <w:t>1333);</w:t>
      </w:r>
    </w:p>
    <w:p w:rsidR="00A02ECF" w:rsidRDefault="006104A2">
      <w:pPr>
        <w:pStyle w:val="SubtleEmphasisListParagraph1BulletIRAOACList011head5113TITLE222"/>
        <w:numPr>
          <w:ilvl w:val="0"/>
          <w:numId w:val="7"/>
        </w:numPr>
        <w:tabs>
          <w:tab w:val="left" w:pos="720"/>
          <w:tab w:val="left" w:pos="870"/>
        </w:tabs>
        <w:spacing w:before="40" w:after="0" w:line="240" w:lineRule="auto"/>
        <w:ind w:left="709" w:hanging="360"/>
        <w:contextualSpacing w:val="0"/>
        <w:jc w:val="both"/>
        <w:rPr>
          <w:rFonts w:ascii="Times New Roman" w:hAnsi="Times New Roman"/>
          <w:b/>
          <w:bCs/>
          <w:i/>
          <w:iCs/>
          <w:sz w:val="20"/>
          <w:szCs w:val="20"/>
          <w:lang w:val="ru-RU"/>
        </w:rPr>
      </w:pPr>
      <w:r>
        <w:rPr>
          <w:rFonts w:ascii="Times New Roman" w:hAnsi="Times New Roman"/>
          <w:b/>
          <w:bCs/>
          <w:i/>
          <w:iCs/>
          <w:sz w:val="20"/>
          <w:szCs w:val="20"/>
          <w:lang w:val="ru-RU"/>
        </w:rPr>
        <w:lastRenderedPageBreak/>
        <w:t>контрольных пакетов акций образуемых акционерных обществ (приложение № 2 к Указу</w:t>
      </w:r>
      <w:r>
        <w:rPr>
          <w:rFonts w:ascii="Times New Roman" w:hAnsi="Times New Roman"/>
          <w:b/>
          <w:bCs/>
          <w:i/>
          <w:iCs/>
          <w:sz w:val="20"/>
          <w:szCs w:val="20"/>
        </w:rPr>
        <w:t> </w:t>
      </w:r>
      <w:r>
        <w:rPr>
          <w:rFonts w:ascii="Times New Roman" w:hAnsi="Times New Roman"/>
          <w:b/>
          <w:bCs/>
          <w:i/>
          <w:iCs/>
          <w:sz w:val="20"/>
          <w:szCs w:val="20"/>
          <w:lang w:val="ru-RU"/>
        </w:rPr>
        <w:t>№</w:t>
      </w:r>
      <w:r>
        <w:rPr>
          <w:rFonts w:ascii="Times New Roman" w:hAnsi="Times New Roman"/>
          <w:b/>
          <w:bCs/>
          <w:i/>
          <w:iCs/>
          <w:sz w:val="20"/>
          <w:szCs w:val="20"/>
        </w:rPr>
        <w:t> </w:t>
      </w:r>
      <w:r>
        <w:rPr>
          <w:rFonts w:ascii="Times New Roman" w:hAnsi="Times New Roman"/>
          <w:b/>
          <w:bCs/>
          <w:i/>
          <w:iCs/>
          <w:sz w:val="20"/>
          <w:szCs w:val="20"/>
          <w:lang w:val="ru-RU"/>
        </w:rPr>
        <w:t>1333);</w:t>
      </w:r>
    </w:p>
    <w:p w:rsidR="00A02ECF" w:rsidRDefault="006104A2">
      <w:pPr>
        <w:pStyle w:val="SubtleEmphasisListParagraph1BulletIRAOACList011head5113TITLE222"/>
        <w:numPr>
          <w:ilvl w:val="0"/>
          <w:numId w:val="7"/>
        </w:numPr>
        <w:tabs>
          <w:tab w:val="left" w:pos="720"/>
          <w:tab w:val="left" w:pos="870"/>
        </w:tabs>
        <w:spacing w:before="40" w:after="0" w:line="240" w:lineRule="auto"/>
        <w:ind w:left="709" w:hanging="360"/>
        <w:contextualSpacing w:val="0"/>
        <w:jc w:val="both"/>
        <w:rPr>
          <w:rFonts w:ascii="Times New Roman" w:hAnsi="Times New Roman"/>
          <w:b/>
          <w:bCs/>
          <w:i/>
          <w:iCs/>
          <w:sz w:val="20"/>
          <w:szCs w:val="20"/>
          <w:lang w:val="ru-RU"/>
        </w:rPr>
      </w:pPr>
      <w:r>
        <w:rPr>
          <w:rFonts w:ascii="Times New Roman" w:hAnsi="Times New Roman"/>
          <w:b/>
          <w:bCs/>
          <w:i/>
          <w:iCs/>
          <w:sz w:val="20"/>
          <w:szCs w:val="20"/>
          <w:lang w:val="ru-RU"/>
        </w:rPr>
        <w:t>долей участия (пакетов акций), принадлежащих ГГК «Газпром» в имуществе российских и зарубежных предприятий, объединений и организаций, а также иного имущества, закрепленного за Концерном «Газпром», не запрещенного к приватизации.</w:t>
      </w:r>
    </w:p>
    <w:p w:rsidR="00A02ECF" w:rsidRDefault="006104A2">
      <w:pPr>
        <w:pStyle w:val="SubHeading"/>
        <w:spacing w:before="120" w:after="0"/>
        <w:jc w:val="both"/>
        <w:rPr>
          <w:rFonts w:eastAsia="Calibri"/>
          <w:b/>
          <w:bCs/>
          <w:i/>
          <w:iCs/>
          <w:lang w:eastAsia="en-US"/>
        </w:rPr>
      </w:pPr>
      <w:r>
        <w:rPr>
          <w:rFonts w:eastAsia="Calibri"/>
          <w:b/>
          <w:bCs/>
          <w:i/>
          <w:iCs/>
          <w:lang w:eastAsia="en-US"/>
        </w:rPr>
        <w:t>ПАО «Газпром» являлся правопреемником имущественных прав и обязанностей ГГК «Газпром», в том числе его прав пользования землей, недрами, природными ресурсами, а также прав и обязанностей по заключенным Концерном договорам.</w:t>
      </w:r>
    </w:p>
    <w:p w:rsidR="00A02ECF" w:rsidRDefault="006104A2">
      <w:pPr>
        <w:pStyle w:val="SubHeading"/>
        <w:spacing w:before="120" w:after="0"/>
        <w:jc w:val="both"/>
        <w:rPr>
          <w:rFonts w:eastAsia="Calibri"/>
          <w:b/>
          <w:bCs/>
          <w:i/>
          <w:iCs/>
          <w:lang w:eastAsia="en-US"/>
        </w:rPr>
      </w:pPr>
      <w:r>
        <w:rPr>
          <w:rFonts w:eastAsia="Calibri"/>
          <w:b/>
          <w:bCs/>
          <w:i/>
          <w:iCs/>
          <w:lang w:eastAsia="en-US"/>
        </w:rPr>
        <w:t xml:space="preserve">Газодобывающие предприятия «Якутгазпром» и «Норильскгазпром», входившие в ГГК «Газпром», были выделены в самостоятельные акционерные общества. </w:t>
      </w:r>
    </w:p>
    <w:p w:rsidR="00A02ECF" w:rsidRDefault="006104A2">
      <w:pPr>
        <w:pStyle w:val="SubHeading"/>
        <w:widowControl/>
        <w:spacing w:before="120" w:after="0"/>
        <w:jc w:val="both"/>
        <w:rPr>
          <w:rFonts w:eastAsia="Calibri"/>
          <w:b/>
          <w:bCs/>
          <w:i/>
          <w:iCs/>
          <w:lang w:eastAsia="en-US"/>
        </w:rPr>
      </w:pPr>
      <w:r>
        <w:rPr>
          <w:rFonts w:eastAsia="Calibri"/>
          <w:b/>
          <w:bCs/>
          <w:i/>
          <w:iCs/>
          <w:lang w:eastAsia="en-US"/>
        </w:rPr>
        <w:t>Решением годового Общего собрания акционеров Российского акционерного общества «Газпром» (протокол от 26 июня 1998 года № 1) внесены изменения в Устав Общества о его переименовании в Открытое акционерное общество «Газпром».</w:t>
      </w:r>
    </w:p>
    <w:p w:rsidR="00A02ECF" w:rsidRDefault="006104A2">
      <w:pPr>
        <w:pStyle w:val="SubHeading"/>
        <w:spacing w:before="120" w:after="0"/>
        <w:jc w:val="both"/>
      </w:pPr>
      <w:r>
        <w:rPr>
          <w:rFonts w:eastAsia="Calibri"/>
          <w:b/>
          <w:bCs/>
          <w:i/>
          <w:iCs/>
          <w:lang w:eastAsia="en-US"/>
        </w:rPr>
        <w:t>Решением годового Общего собрания акционеров Открытого акционерного общества «Газпром» (протокол от 26 июня 2015 года №1) утвержден Устав Общества в новой редакции, предусматривающий переименование Общества в Публичное акционерное общество «Газпром».</w:t>
      </w:r>
      <w:bookmarkEnd w:id="6"/>
    </w:p>
    <w:p w:rsidR="00A02ECF" w:rsidRDefault="006104A2">
      <w:pPr>
        <w:pStyle w:val="SubHeading"/>
        <w:spacing w:before="60" w:after="0"/>
      </w:pPr>
      <w:r>
        <w:t>Данные о первичной государственной регистрации:</w:t>
      </w:r>
    </w:p>
    <w:p w:rsidR="00A02ECF" w:rsidRDefault="006104A2">
      <w:pPr>
        <w:spacing w:before="60" w:after="0"/>
        <w:ind w:left="142"/>
      </w:pPr>
      <w:r>
        <w:t>Номер государственной регистрации:</w:t>
      </w:r>
      <w:r>
        <w:rPr>
          <w:rStyle w:val="Subst"/>
        </w:rPr>
        <w:t xml:space="preserve"> 022.726</w:t>
      </w:r>
    </w:p>
    <w:p w:rsidR="00A02ECF" w:rsidRDefault="006104A2">
      <w:pPr>
        <w:spacing w:before="60" w:after="0"/>
        <w:ind w:left="142"/>
      </w:pPr>
      <w:r>
        <w:t>Дата государственной регистрации:</w:t>
      </w:r>
      <w:r>
        <w:rPr>
          <w:rStyle w:val="Subst"/>
        </w:rPr>
        <w:t xml:space="preserve"> 25.02.1993</w:t>
      </w:r>
    </w:p>
    <w:p w:rsidR="00A02ECF" w:rsidRDefault="006104A2">
      <w:pPr>
        <w:spacing w:before="60" w:after="0"/>
        <w:ind w:left="142"/>
      </w:pPr>
      <w:r>
        <w:t>Наименование органа, осуществившего государственную регистрацию:</w:t>
      </w:r>
      <w:r>
        <w:rPr>
          <w:rStyle w:val="Subst"/>
        </w:rPr>
        <w:t xml:space="preserve"> Московская регистрационная палата</w:t>
      </w:r>
    </w:p>
    <w:p w:rsidR="00A02ECF" w:rsidRDefault="006104A2">
      <w:pPr>
        <w:spacing w:before="60"/>
      </w:pPr>
      <w:r>
        <w:t>Данные о регистрации юридического лица:</w:t>
      </w:r>
    </w:p>
    <w:p w:rsidR="00A02ECF" w:rsidRDefault="006104A2">
      <w:pPr>
        <w:spacing w:before="60" w:after="0"/>
        <w:ind w:left="142"/>
      </w:pPr>
      <w:r>
        <w:t>Основной государственный регистрационный номер юридического лица:</w:t>
      </w:r>
      <w:r>
        <w:rPr>
          <w:rStyle w:val="Subst"/>
        </w:rPr>
        <w:t xml:space="preserve"> 1027700070518</w:t>
      </w:r>
    </w:p>
    <w:p w:rsidR="00A02ECF" w:rsidRDefault="006104A2">
      <w:pPr>
        <w:spacing w:before="60" w:after="0"/>
        <w:ind w:left="142"/>
      </w:pPr>
      <w:r>
        <w:t>Дата внесения записи о юридическом лице, зарегистрированном до 1 июля 2002 года, в единый государственный реестр юридических лиц:</w:t>
      </w:r>
      <w:r>
        <w:rPr>
          <w:rStyle w:val="Subst"/>
        </w:rPr>
        <w:t xml:space="preserve"> 02.08.2002</w:t>
      </w:r>
    </w:p>
    <w:p w:rsidR="00A02ECF" w:rsidRDefault="006104A2">
      <w:pPr>
        <w:spacing w:before="60" w:after="0"/>
        <w:ind w:left="142"/>
        <w:rPr>
          <w:rStyle w:val="Subst"/>
        </w:rPr>
      </w:pPr>
      <w:r>
        <w:t>Наименование регистрирующего органа:</w:t>
      </w:r>
      <w:r>
        <w:rPr>
          <w:rStyle w:val="Subst"/>
        </w:rPr>
        <w:t xml:space="preserve"> Управление МНС России по г. Москве</w:t>
      </w:r>
    </w:p>
    <w:p w:rsidR="00A02ECF" w:rsidRDefault="00A02ECF">
      <w:pPr>
        <w:spacing w:before="0"/>
        <w:jc w:val="both"/>
      </w:pPr>
    </w:p>
    <w:p w:rsidR="00A02ECF" w:rsidRDefault="006104A2">
      <w:pPr>
        <w:spacing w:before="0"/>
        <w:jc w:val="both"/>
      </w:pPr>
      <w:r>
        <w:t>Сведения о случаях изменения наименования и (или) реорганизации эмитента, если такие случаи имели место в течение трех последних лет, предшествующих дате окончания отчетного периода, за который составлен отчет эмитента:</w:t>
      </w:r>
    </w:p>
    <w:p w:rsidR="00A02ECF" w:rsidRDefault="006104A2">
      <w:pPr>
        <w:jc w:val="both"/>
        <w:rPr>
          <w:b/>
          <w:bCs/>
          <w:i/>
          <w:iCs/>
        </w:rPr>
      </w:pPr>
      <w:r>
        <w:rPr>
          <w:b/>
          <w:bCs/>
          <w:i/>
          <w:iCs/>
        </w:rPr>
        <w:t>В течение трех последних лет, предшествующих дате окончания отчетного периода, за который составлен отчет эмитента, изменения наименования и (или) реорганизация эмитента не происходили.</w:t>
      </w:r>
    </w:p>
    <w:p w:rsidR="00A02ECF" w:rsidRDefault="00A02ECF">
      <w:pPr>
        <w:rPr>
          <w:b/>
        </w:rPr>
      </w:pPr>
    </w:p>
    <w:p w:rsidR="00A02ECF" w:rsidRDefault="006104A2">
      <w:r>
        <w:t xml:space="preserve">Основной государственный регистрационный код (ОГРН): </w:t>
      </w:r>
      <w:r>
        <w:rPr>
          <w:rStyle w:val="Subst"/>
        </w:rPr>
        <w:t>1027700070518</w:t>
      </w:r>
    </w:p>
    <w:p w:rsidR="00A02ECF" w:rsidRDefault="006104A2">
      <w:pPr>
        <w:spacing w:before="120"/>
        <w:rPr>
          <w:b/>
          <w:i/>
        </w:rPr>
      </w:pPr>
      <w:r>
        <w:t xml:space="preserve">Идентификационный номер налогоплательщика (ИНН): </w:t>
      </w:r>
      <w:r>
        <w:rPr>
          <w:b/>
          <w:i/>
        </w:rPr>
        <w:t>7736050003</w:t>
      </w:r>
    </w:p>
    <w:p w:rsidR="00A02ECF" w:rsidRDefault="00A02ECF"/>
    <w:p w:rsidR="00A02ECF" w:rsidRDefault="006104A2">
      <w:pPr>
        <w:spacing w:before="0" w:after="0"/>
        <w:jc w:val="both"/>
      </w:pPr>
      <w:r>
        <w:t>Краткое описание финансово-хозяйственной деятельности, операционных сегментов и географии осуществления финансово-хозяйственной деятельности группы эмитента:</w:t>
      </w:r>
    </w:p>
    <w:p w:rsidR="00A02ECF" w:rsidRDefault="006104A2">
      <w:pPr>
        <w:spacing w:before="120"/>
        <w:rPr>
          <w:b/>
        </w:rPr>
      </w:pPr>
      <w:r>
        <w:rPr>
          <w:b/>
        </w:rPr>
        <w:t>Краткая характеристика Группы эмитента</w:t>
      </w:r>
    </w:p>
    <w:p w:rsidR="00A02ECF" w:rsidRDefault="006104A2">
      <w:pPr>
        <w:spacing w:before="120"/>
        <w:jc w:val="both"/>
        <w:rPr>
          <w:b/>
          <w:i/>
        </w:rPr>
      </w:pPr>
      <w:r>
        <w:rPr>
          <w:b/>
          <w:i/>
        </w:rPr>
        <w:t>Газпром является глобальной вертикально интегрированной энергетической компанией. ПАО «Газпром» является материнской организацией Группы Газпром.</w:t>
      </w:r>
    </w:p>
    <w:p w:rsidR="00A02ECF" w:rsidRDefault="006104A2">
      <w:pPr>
        <w:spacing w:before="120"/>
        <w:jc w:val="both"/>
        <w:rPr>
          <w:b/>
          <w:i/>
        </w:rPr>
      </w:pPr>
      <w:r>
        <w:rPr>
          <w:b/>
          <w:i/>
        </w:rPr>
        <w:t>Группа Газпром располагает одной из крупнейших в мире систем газопроводов и обеспечивает большую часть добычи природного газа и его транспортировку по трубопроводам высокого давления в Российской Федерации. Группа осуществляет добычу нефти, производство нефтепродуктов, выработку электрической и тепловой энергии и занимается медиабизнесом.</w:t>
      </w:r>
    </w:p>
    <w:p w:rsidR="00A02ECF" w:rsidRDefault="006104A2">
      <w:pPr>
        <w:spacing w:before="120"/>
        <w:jc w:val="both"/>
        <w:rPr>
          <w:b/>
          <w:i/>
        </w:rPr>
      </w:pPr>
      <w:r>
        <w:rPr>
          <w:b/>
          <w:i/>
        </w:rPr>
        <w:t xml:space="preserve">Группа осуществляет следующие виды деятельности: </w:t>
      </w:r>
    </w:p>
    <w:p w:rsidR="00A02ECF" w:rsidRDefault="006104A2">
      <w:pPr>
        <w:pStyle w:val="SubtleEmphasisListParagraph1BulletIRAOACList011head5113TITLE222"/>
        <w:numPr>
          <w:ilvl w:val="0"/>
          <w:numId w:val="1"/>
        </w:numPr>
        <w:tabs>
          <w:tab w:val="left" w:pos="709"/>
          <w:tab w:val="left" w:pos="870"/>
        </w:tabs>
        <w:spacing w:before="40" w:after="0" w:line="240" w:lineRule="auto"/>
        <w:ind w:left="709" w:hanging="357"/>
        <w:contextualSpacing w:val="0"/>
        <w:jc w:val="both"/>
        <w:rPr>
          <w:rFonts w:ascii="Times New Roman" w:hAnsi="Times New Roman"/>
          <w:b/>
          <w:bCs/>
          <w:i/>
          <w:iCs/>
          <w:sz w:val="20"/>
          <w:szCs w:val="20"/>
          <w:lang w:val="ru-RU"/>
        </w:rPr>
      </w:pPr>
      <w:r>
        <w:rPr>
          <w:rFonts w:ascii="Times New Roman" w:hAnsi="Times New Roman"/>
          <w:b/>
          <w:bCs/>
          <w:i/>
          <w:iCs/>
          <w:sz w:val="20"/>
          <w:szCs w:val="20"/>
          <w:lang w:val="ru-RU"/>
        </w:rPr>
        <w:t>разведка и добыча газа;</w:t>
      </w:r>
    </w:p>
    <w:p w:rsidR="00A02ECF" w:rsidRDefault="006104A2">
      <w:pPr>
        <w:pStyle w:val="SubtleEmphasisListParagraph1BulletIRAOACList011head5113TITLE222"/>
        <w:numPr>
          <w:ilvl w:val="0"/>
          <w:numId w:val="1"/>
        </w:numPr>
        <w:tabs>
          <w:tab w:val="left" w:pos="709"/>
          <w:tab w:val="left" w:pos="870"/>
        </w:tabs>
        <w:spacing w:before="40" w:after="0" w:line="240" w:lineRule="auto"/>
        <w:ind w:left="709" w:hanging="357"/>
        <w:contextualSpacing w:val="0"/>
        <w:jc w:val="both"/>
        <w:rPr>
          <w:rFonts w:ascii="Times New Roman" w:hAnsi="Times New Roman"/>
          <w:b/>
          <w:bCs/>
          <w:i/>
          <w:iCs/>
          <w:sz w:val="20"/>
          <w:szCs w:val="20"/>
          <w:lang w:val="ru-RU"/>
        </w:rPr>
      </w:pPr>
      <w:r>
        <w:rPr>
          <w:rFonts w:ascii="Times New Roman" w:hAnsi="Times New Roman"/>
          <w:b/>
          <w:bCs/>
          <w:i/>
          <w:iCs/>
          <w:sz w:val="20"/>
          <w:szCs w:val="20"/>
          <w:lang w:val="ru-RU"/>
        </w:rPr>
        <w:t>транспортировка газа;</w:t>
      </w:r>
    </w:p>
    <w:p w:rsidR="00A02ECF" w:rsidRDefault="006104A2">
      <w:pPr>
        <w:pStyle w:val="SubtleEmphasisListParagraph1BulletIRAOACList011head5113TITLE222"/>
        <w:numPr>
          <w:ilvl w:val="0"/>
          <w:numId w:val="1"/>
        </w:numPr>
        <w:tabs>
          <w:tab w:val="left" w:pos="709"/>
          <w:tab w:val="left" w:pos="870"/>
        </w:tabs>
        <w:spacing w:before="40" w:after="0" w:line="240" w:lineRule="auto"/>
        <w:ind w:left="709" w:hanging="357"/>
        <w:contextualSpacing w:val="0"/>
        <w:jc w:val="both"/>
        <w:rPr>
          <w:rFonts w:ascii="Times New Roman" w:hAnsi="Times New Roman"/>
          <w:b/>
          <w:bCs/>
          <w:i/>
          <w:iCs/>
          <w:sz w:val="20"/>
          <w:szCs w:val="20"/>
          <w:lang w:val="ru-RU"/>
        </w:rPr>
      </w:pPr>
      <w:r>
        <w:rPr>
          <w:rFonts w:ascii="Times New Roman" w:hAnsi="Times New Roman"/>
          <w:b/>
          <w:bCs/>
          <w:i/>
          <w:iCs/>
          <w:sz w:val="20"/>
          <w:szCs w:val="20"/>
          <w:lang w:val="ru-RU"/>
        </w:rPr>
        <w:t>продажа газа в Российской Федерации и за ее пределами;</w:t>
      </w:r>
    </w:p>
    <w:p w:rsidR="00A02ECF" w:rsidRDefault="006104A2">
      <w:pPr>
        <w:pStyle w:val="SubtleEmphasisListParagraph1BulletIRAOACList011head5113TITLE222"/>
        <w:numPr>
          <w:ilvl w:val="0"/>
          <w:numId w:val="1"/>
        </w:numPr>
        <w:tabs>
          <w:tab w:val="left" w:pos="709"/>
          <w:tab w:val="left" w:pos="870"/>
        </w:tabs>
        <w:spacing w:before="40" w:after="0" w:line="240" w:lineRule="auto"/>
        <w:ind w:left="709" w:hanging="357"/>
        <w:contextualSpacing w:val="0"/>
        <w:jc w:val="both"/>
        <w:rPr>
          <w:rFonts w:ascii="Times New Roman" w:hAnsi="Times New Roman"/>
          <w:b/>
          <w:bCs/>
          <w:i/>
          <w:iCs/>
          <w:sz w:val="20"/>
          <w:szCs w:val="20"/>
          <w:lang w:val="ru-RU"/>
        </w:rPr>
      </w:pPr>
      <w:r>
        <w:rPr>
          <w:rFonts w:ascii="Times New Roman" w:hAnsi="Times New Roman"/>
          <w:b/>
          <w:bCs/>
          <w:i/>
          <w:iCs/>
          <w:sz w:val="20"/>
          <w:szCs w:val="20"/>
          <w:lang w:val="ru-RU"/>
        </w:rPr>
        <w:t>хранение газа;</w:t>
      </w:r>
    </w:p>
    <w:p w:rsidR="00A02ECF" w:rsidRDefault="006104A2">
      <w:pPr>
        <w:pStyle w:val="SubtleEmphasisListParagraph1BulletIRAOACList011head5113TITLE222"/>
        <w:numPr>
          <w:ilvl w:val="0"/>
          <w:numId w:val="1"/>
        </w:numPr>
        <w:tabs>
          <w:tab w:val="left" w:pos="709"/>
          <w:tab w:val="left" w:pos="870"/>
        </w:tabs>
        <w:spacing w:before="40" w:after="0" w:line="240" w:lineRule="auto"/>
        <w:ind w:left="709" w:hanging="357"/>
        <w:contextualSpacing w:val="0"/>
        <w:jc w:val="both"/>
        <w:rPr>
          <w:rFonts w:ascii="Times New Roman" w:hAnsi="Times New Roman"/>
          <w:b/>
          <w:bCs/>
          <w:i/>
          <w:iCs/>
          <w:sz w:val="20"/>
          <w:szCs w:val="20"/>
          <w:lang w:val="ru-RU"/>
        </w:rPr>
      </w:pPr>
      <w:r>
        <w:rPr>
          <w:rFonts w:ascii="Times New Roman" w:hAnsi="Times New Roman"/>
          <w:b/>
          <w:i/>
          <w:sz w:val="20"/>
          <w:szCs w:val="20"/>
          <w:lang w:val="ru-RU"/>
        </w:rPr>
        <w:t>добыча и продажа нефти и газового конденсата</w:t>
      </w:r>
      <w:r>
        <w:rPr>
          <w:rFonts w:ascii="Times New Roman" w:hAnsi="Times New Roman"/>
          <w:b/>
          <w:bCs/>
          <w:i/>
          <w:iCs/>
          <w:sz w:val="20"/>
          <w:szCs w:val="20"/>
          <w:lang w:val="ru-RU"/>
        </w:rPr>
        <w:t>;</w:t>
      </w:r>
    </w:p>
    <w:p w:rsidR="00A02ECF" w:rsidRDefault="006104A2">
      <w:pPr>
        <w:pStyle w:val="SubtleEmphasisListParagraph1BulletIRAOACList011head5113TITLE222"/>
        <w:numPr>
          <w:ilvl w:val="0"/>
          <w:numId w:val="1"/>
        </w:numPr>
        <w:tabs>
          <w:tab w:val="left" w:pos="709"/>
          <w:tab w:val="left" w:pos="870"/>
        </w:tabs>
        <w:spacing w:before="40" w:after="0" w:line="240" w:lineRule="auto"/>
        <w:ind w:left="709" w:hanging="357"/>
        <w:contextualSpacing w:val="0"/>
        <w:jc w:val="both"/>
        <w:rPr>
          <w:rFonts w:ascii="Times New Roman" w:hAnsi="Times New Roman"/>
          <w:b/>
          <w:bCs/>
          <w:i/>
          <w:iCs/>
          <w:sz w:val="20"/>
          <w:szCs w:val="20"/>
          <w:lang w:val="ru-RU"/>
        </w:rPr>
      </w:pPr>
      <w:r>
        <w:rPr>
          <w:rFonts w:ascii="Times New Roman" w:hAnsi="Times New Roman"/>
          <w:b/>
          <w:bCs/>
          <w:i/>
          <w:iCs/>
          <w:sz w:val="20"/>
          <w:szCs w:val="20"/>
          <w:lang w:val="ru-RU"/>
        </w:rPr>
        <w:lastRenderedPageBreak/>
        <w:t xml:space="preserve">переработка нефти, газового конденсата и прочих углеводородов и продажа продуктов переработки; </w:t>
      </w:r>
    </w:p>
    <w:p w:rsidR="00A02ECF" w:rsidRDefault="006104A2">
      <w:pPr>
        <w:pStyle w:val="SubtleEmphasisListParagraph1BulletIRAOACList011head5113TITLE222"/>
        <w:numPr>
          <w:ilvl w:val="0"/>
          <w:numId w:val="1"/>
        </w:numPr>
        <w:tabs>
          <w:tab w:val="left" w:pos="709"/>
          <w:tab w:val="left" w:pos="870"/>
        </w:tabs>
        <w:spacing w:before="40" w:after="0" w:line="240" w:lineRule="auto"/>
        <w:ind w:left="709" w:hanging="357"/>
        <w:contextualSpacing w:val="0"/>
        <w:jc w:val="both"/>
        <w:rPr>
          <w:rFonts w:ascii="Times New Roman" w:hAnsi="Times New Roman"/>
          <w:b/>
          <w:bCs/>
          <w:i/>
          <w:iCs/>
          <w:sz w:val="20"/>
          <w:szCs w:val="20"/>
          <w:lang w:val="ru-RU"/>
        </w:rPr>
      </w:pPr>
      <w:r>
        <w:rPr>
          <w:rFonts w:ascii="Times New Roman" w:hAnsi="Times New Roman"/>
          <w:b/>
          <w:bCs/>
          <w:i/>
          <w:iCs/>
          <w:sz w:val="20"/>
          <w:szCs w:val="20"/>
          <w:lang w:val="ru-RU"/>
        </w:rPr>
        <w:t>производство и продажа электрической и тепловой энергии;</w:t>
      </w:r>
    </w:p>
    <w:p w:rsidR="00A02ECF" w:rsidRDefault="006104A2">
      <w:pPr>
        <w:pStyle w:val="SubtleEmphasisListParagraph1BulletIRAOACList011head5113TITLE222"/>
        <w:numPr>
          <w:ilvl w:val="0"/>
          <w:numId w:val="1"/>
        </w:numPr>
        <w:tabs>
          <w:tab w:val="left" w:pos="709"/>
          <w:tab w:val="left" w:pos="870"/>
        </w:tabs>
        <w:spacing w:before="40" w:after="0" w:line="240" w:lineRule="auto"/>
        <w:ind w:left="709" w:hanging="357"/>
        <w:contextualSpacing w:val="0"/>
        <w:jc w:val="both"/>
        <w:rPr>
          <w:rFonts w:ascii="Times New Roman" w:hAnsi="Times New Roman"/>
          <w:b/>
          <w:bCs/>
          <w:i/>
          <w:iCs/>
          <w:sz w:val="20"/>
          <w:szCs w:val="20"/>
          <w:lang w:val="ru-RU"/>
        </w:rPr>
      </w:pPr>
      <w:bookmarkStart w:id="7" w:name="_Hlk184746454"/>
      <w:r>
        <w:rPr>
          <w:rFonts w:ascii="Times New Roman" w:hAnsi="Times New Roman"/>
          <w:b/>
          <w:bCs/>
          <w:i/>
          <w:iCs/>
          <w:sz w:val="20"/>
          <w:szCs w:val="20"/>
          <w:lang w:val="ru-RU"/>
        </w:rPr>
        <w:t>медиабизнес</w:t>
      </w:r>
      <w:bookmarkEnd w:id="7"/>
      <w:r>
        <w:rPr>
          <w:rFonts w:ascii="Times New Roman" w:hAnsi="Times New Roman"/>
          <w:b/>
          <w:bCs/>
          <w:i/>
          <w:iCs/>
          <w:sz w:val="20"/>
          <w:szCs w:val="20"/>
          <w:lang w:val="ru-RU"/>
        </w:rPr>
        <w:t>.</w:t>
      </w:r>
    </w:p>
    <w:p w:rsidR="00A02ECF" w:rsidRDefault="006104A2">
      <w:pPr>
        <w:spacing w:before="120"/>
        <w:jc w:val="both"/>
        <w:rPr>
          <w:b/>
        </w:rPr>
      </w:pPr>
      <w:r>
        <w:rPr>
          <w:b/>
        </w:rPr>
        <w:t>Общее число организаций, входящих в периметр консолидации в целях подготовки консолидированной финансовой отчетности Группы Газпром в соответствии со стандартами финансовой отчетности МСФО за 2025 год около 350.</w:t>
      </w:r>
    </w:p>
    <w:p w:rsidR="00A02ECF" w:rsidRDefault="00A02ECF">
      <w:pPr>
        <w:rPr>
          <w:b/>
        </w:rPr>
      </w:pPr>
    </w:p>
    <w:p w:rsidR="00A02ECF" w:rsidRDefault="006104A2">
      <w:pPr>
        <w:rPr>
          <w:b/>
        </w:rPr>
      </w:pPr>
      <w:r>
        <w:rPr>
          <w:b/>
        </w:rPr>
        <w:t>Сведения о личном законе организаций, составляющих Группу Газпром:</w:t>
      </w:r>
    </w:p>
    <w:p w:rsidR="00A02ECF" w:rsidRDefault="006104A2">
      <w:pPr>
        <w:jc w:val="both"/>
        <w:rPr>
          <w:b/>
          <w:i/>
        </w:rPr>
      </w:pPr>
      <w:r>
        <w:rPr>
          <w:b/>
          <w:i/>
        </w:rPr>
        <w:t xml:space="preserve">Организации Группы Газпром осуществляют свою финансово-хозяйственную деятельность в соответствии с правом </w:t>
      </w:r>
      <w:r w:rsidR="002E76F3">
        <w:rPr>
          <w:b/>
          <w:i/>
        </w:rPr>
        <w:t>страны, в которой они учреждены</w:t>
      </w:r>
      <w:r>
        <w:rPr>
          <w:b/>
          <w:i/>
        </w:rPr>
        <w:t>.</w:t>
      </w:r>
    </w:p>
    <w:p w:rsidR="002E76F3" w:rsidRDefault="002E76F3" w:rsidP="002E76F3">
      <w:pPr>
        <w:jc w:val="center"/>
        <w:rPr>
          <w:b/>
          <w:i/>
        </w:rPr>
      </w:pPr>
      <w:r>
        <w:rPr>
          <w:b/>
          <w:i/>
        </w:rPr>
        <w:t>…</w:t>
      </w:r>
    </w:p>
    <w:p w:rsidR="00A02ECF" w:rsidRDefault="00A02ECF">
      <w:pPr>
        <w:spacing w:before="0" w:after="0"/>
      </w:pPr>
    </w:p>
    <w:p w:rsidR="00A02ECF" w:rsidRDefault="006104A2">
      <w:pPr>
        <w:jc w:val="both"/>
        <w:rPr>
          <w:bCs/>
        </w:rPr>
      </w:pPr>
      <w:r>
        <w:rPr>
          <w:bCs/>
        </w:rPr>
        <w:t xml:space="preserve">В случае если федеральными законами для определенной категории (группы) инвесторов, в том числе для иностранных инвесторов (группы лиц, определяемой в соответствии </w:t>
      </w:r>
      <w:hyperlink r:id="rId7" w:tooltip="consultantplus://offline/ref=428250E26208CDD628388E63198BB38AC5AA1E3FA9A67F84A83AD1C5F180D1B07F1C4DF95C85A21C021E6D44B2078FA02D14C1FD6A6851H" w:history="1">
        <w:r>
          <w:rPr>
            <w:bCs/>
          </w:rPr>
          <w:t>статьей 9</w:t>
        </w:r>
      </w:hyperlink>
      <w:r>
        <w:rPr>
          <w:bCs/>
        </w:rPr>
        <w:t xml:space="preserve"> Федерального закона "О защите конкуренции", в которую входят иностранные инвесторы), установлены ограничения при их участии в уставном капитале эмитента (совершении сделок с акциями (долями), составляющими уставный капитал эмитента) в связи с осуществлением эмитентом и (или) его подконтрольными организациями определенного вида (видов) деятельности, в том числе вида (видов) деятельности, имеющего стратегическое значение для обеспечения обороны страны и безопасности государства, указывается на это обстоятельство и раскрываются название и реквизиты федерального закона, которым установлены соответствующие ограничения.</w:t>
      </w:r>
    </w:p>
    <w:p w:rsidR="00A02ECF" w:rsidRDefault="006104A2">
      <w:pPr>
        <w:jc w:val="both"/>
        <w:rPr>
          <w:b/>
          <w:i/>
        </w:rPr>
      </w:pPr>
      <w:r>
        <w:rPr>
          <w:b/>
          <w:i/>
        </w:rPr>
        <w:t>Прямые ограничения на долю участия иностранных лиц в уставном капитале ПАО «Газпром» отменены. Вместе с тем, согласно изменениям в статью 15 Федерального закона «О газоснабжении в Российской Федерации», вступившим в силу 26 декабря 2005 года, суммарная доля обыкновенных акций Эмитента, которые находятся в собственности Российской Федерации и в собственности акционерных обществ, более 50 процентов акций которых находится в собственности Российской Федерации, не может составлять менее чем 50 процентов плюс одна акция общего количества обыкновенных акций Эмитента. Продажа и иные способы отчуждения таких обыкновенных акций могут быть осуществлены на основании федерального закона.</w:t>
      </w:r>
    </w:p>
    <w:p w:rsidR="00A02ECF" w:rsidRDefault="00A02ECF">
      <w:pPr>
        <w:spacing w:before="0" w:after="0"/>
        <w:jc w:val="both"/>
        <w:rPr>
          <w:rFonts w:eastAsia="Calibri"/>
        </w:rPr>
      </w:pPr>
    </w:p>
    <w:p w:rsidR="00A02ECF" w:rsidRDefault="006104A2">
      <w:pPr>
        <w:jc w:val="both"/>
        <w:rPr>
          <w:bCs/>
        </w:rPr>
      </w:pPr>
      <w:r>
        <w:rPr>
          <w:bCs/>
        </w:rPr>
        <w:t>Иные ограничения, связанные с участием в уставном капитале эмитента, установленные его уставом:</w:t>
      </w:r>
    </w:p>
    <w:p w:rsidR="00A02ECF" w:rsidRDefault="006104A2">
      <w:pPr>
        <w:spacing w:before="0" w:after="0"/>
        <w:jc w:val="both"/>
        <w:rPr>
          <w:b/>
          <w:i/>
          <w:szCs w:val="24"/>
        </w:rPr>
      </w:pPr>
      <w:r>
        <w:rPr>
          <w:b/>
          <w:i/>
          <w:szCs w:val="24"/>
        </w:rPr>
        <w:t>Ограничения количества акций, принадлежащих одному акционеру, и/или их суммарной номинальной стоимости, и/или максимального числа голосов, предоставляемых одному акционеру, Уставом ПАО «Газпром» не установлены.</w:t>
      </w:r>
    </w:p>
    <w:p w:rsidR="00A02ECF" w:rsidRDefault="00A02ECF">
      <w:pPr>
        <w:spacing w:before="0" w:after="0"/>
        <w:jc w:val="both"/>
        <w:rPr>
          <w:b/>
          <w:i/>
          <w:szCs w:val="24"/>
        </w:rPr>
      </w:pPr>
    </w:p>
    <w:p w:rsidR="00A02ECF" w:rsidRDefault="006104A2">
      <w:pPr>
        <w:pStyle w:val="2"/>
        <w:rPr>
          <w:color w:val="000000"/>
        </w:rPr>
      </w:pPr>
      <w:bookmarkStart w:id="8" w:name="_Hlk184901705"/>
      <w:bookmarkStart w:id="9" w:name="_Toc230104292"/>
      <w:bookmarkStart w:id="10" w:name="_Hlk195776154"/>
      <w:bookmarkStart w:id="11" w:name="_Hlk219718931"/>
      <w:bookmarkStart w:id="12" w:name="_Hlk230104353"/>
      <w:r>
        <w:rPr>
          <w:color w:val="000000"/>
        </w:rPr>
        <w:t>1.2. Сведения о положении эмитента в отрасли</w:t>
      </w:r>
      <w:bookmarkEnd w:id="8"/>
      <w:bookmarkEnd w:id="9"/>
    </w:p>
    <w:p w:rsidR="00A02ECF" w:rsidRDefault="006104A2">
      <w:pPr>
        <w:spacing w:before="120"/>
        <w:jc w:val="both"/>
        <w:rPr>
          <w:sz w:val="24"/>
          <w:szCs w:val="24"/>
        </w:rPr>
      </w:pPr>
      <w:r>
        <w:t>Общая характеристика отрасли, в которой осуществляют деятельность организации группы эмитента:</w:t>
      </w:r>
    </w:p>
    <w:p w:rsidR="00A02ECF" w:rsidRDefault="006104A2">
      <w:pPr>
        <w:jc w:val="both"/>
        <w:rPr>
          <w:b/>
          <w:i/>
        </w:rPr>
      </w:pPr>
      <w:r>
        <w:rPr>
          <w:rStyle w:val="markedcontent"/>
          <w:b/>
          <w:i/>
        </w:rPr>
        <w:t>Топливно-энергетический комплекс Российской Федерации вносит значительный вклад в национальную безопасность и социально-экономическое развитие страны.</w:t>
      </w:r>
    </w:p>
    <w:p w:rsidR="00A02ECF" w:rsidRDefault="006104A2">
      <w:pPr>
        <w:spacing w:before="120"/>
        <w:jc w:val="both"/>
        <w:rPr>
          <w:b/>
          <w:i/>
          <w:highlight w:val="cyan"/>
        </w:rPr>
      </w:pPr>
      <w:r>
        <w:rPr>
          <w:b/>
          <w:i/>
        </w:rPr>
        <w:t>Газпром – глобальная вертикально интегрированная энергетическая компания топливно-энергетического комплекса Российской Федерации.</w:t>
      </w:r>
    </w:p>
    <w:p w:rsidR="00A02ECF" w:rsidRDefault="006104A2">
      <w:pPr>
        <w:spacing w:before="120"/>
        <w:jc w:val="both"/>
        <w:rPr>
          <w:b/>
          <w:i/>
        </w:rPr>
      </w:pPr>
      <w:r>
        <w:rPr>
          <w:b/>
          <w:i/>
        </w:rPr>
        <w:t>Основные направления работы Группы – геологоразведка и добыча газа, газового конденсата, нефти; транспортировка и подземное хранение газа; переработка углеводородного сырья, газо- и нефтехимия; реализация газа, газового конденсата, нефти и продуктов газо- и нефтепереработки, а также производство и сбыт тепловой и электрической энергии.</w:t>
      </w:r>
    </w:p>
    <w:p w:rsidR="00A02ECF" w:rsidRDefault="006104A2">
      <w:pPr>
        <w:spacing w:before="120" w:after="0"/>
        <w:jc w:val="both"/>
        <w:rPr>
          <w:b/>
          <w:bCs/>
          <w:i/>
          <w:iCs/>
        </w:rPr>
      </w:pPr>
      <w:r>
        <w:rPr>
          <w:b/>
          <w:bCs/>
          <w:i/>
          <w:iCs/>
        </w:rPr>
        <w:t>Медиаотрасль является неотъемлемой частью современной экономики Российской Федерации и одним из существенных факторов ее роста.</w:t>
      </w:r>
    </w:p>
    <w:p w:rsidR="00A02ECF" w:rsidRDefault="006104A2">
      <w:pPr>
        <w:spacing w:before="120" w:after="0"/>
        <w:jc w:val="both"/>
        <w:rPr>
          <w:b/>
          <w:bCs/>
          <w:i/>
          <w:iCs/>
        </w:rPr>
      </w:pPr>
      <w:r>
        <w:rPr>
          <w:b/>
          <w:bCs/>
          <w:i/>
          <w:iCs/>
        </w:rPr>
        <w:t>Основные направления деятельности Группы в медиаотрасли – телевизионное- и радио-вещание, распространение контента, а также развитие онлайн-платформ.</w:t>
      </w:r>
    </w:p>
    <w:p w:rsidR="00A02ECF" w:rsidRDefault="00A02ECF">
      <w:pPr>
        <w:spacing w:before="0" w:after="0"/>
        <w:jc w:val="both"/>
        <w:rPr>
          <w:b/>
          <w:sz w:val="24"/>
          <w:szCs w:val="24"/>
        </w:rPr>
      </w:pPr>
    </w:p>
    <w:p w:rsidR="00A02ECF" w:rsidRDefault="006104A2">
      <w:pPr>
        <w:spacing w:before="120" w:after="0"/>
        <w:jc w:val="both"/>
        <w:rPr>
          <w:b/>
          <w:sz w:val="24"/>
          <w:szCs w:val="24"/>
        </w:rPr>
      </w:pPr>
      <w:r>
        <w:rPr>
          <w:b/>
          <w:sz w:val="24"/>
          <w:szCs w:val="24"/>
        </w:rPr>
        <w:t>Газовая отрасль</w:t>
      </w:r>
    </w:p>
    <w:p w:rsidR="00A02ECF" w:rsidRDefault="006104A2">
      <w:pPr>
        <w:spacing w:before="120" w:after="0"/>
        <w:jc w:val="both"/>
        <w:rPr>
          <w:b/>
          <w:bCs/>
          <w:u w:val="single"/>
        </w:rPr>
      </w:pPr>
      <w:bookmarkStart w:id="13" w:name="_Hlk198803786"/>
      <w:bookmarkEnd w:id="10"/>
      <w:r>
        <w:rPr>
          <w:b/>
          <w:bCs/>
          <w:u w:val="single"/>
        </w:rPr>
        <w:t>Российский рынок</w:t>
      </w:r>
    </w:p>
    <w:p w:rsidR="00A02ECF" w:rsidRDefault="006104A2">
      <w:pPr>
        <w:spacing w:before="120" w:after="0"/>
        <w:jc w:val="both"/>
        <w:rPr>
          <w:sz w:val="24"/>
          <w:szCs w:val="24"/>
        </w:rPr>
      </w:pPr>
      <w:bookmarkStart w:id="14" w:name="_Hlk185336126"/>
      <w:bookmarkStart w:id="15" w:name="_Hlk185336159"/>
      <w:bookmarkEnd w:id="13"/>
      <w:r>
        <w:rPr>
          <w:b/>
          <w:bCs/>
          <w:i/>
          <w:iCs/>
        </w:rPr>
        <w:lastRenderedPageBreak/>
        <w:t xml:space="preserve">Газовая отрасль Российской Федерации является важнейшим элементом ресурсного обеспечения экономического развития страны. </w:t>
      </w:r>
    </w:p>
    <w:p w:rsidR="00A02ECF" w:rsidRDefault="00A02ECF">
      <w:pPr>
        <w:spacing w:before="0" w:after="0"/>
        <w:jc w:val="both"/>
        <w:rPr>
          <w:b/>
          <w:bCs/>
          <w:i/>
          <w:iCs/>
        </w:rPr>
      </w:pPr>
      <w:bookmarkStart w:id="16" w:name="_Hlk103581884"/>
      <w:bookmarkEnd w:id="14"/>
    </w:p>
    <w:p w:rsidR="00A02ECF" w:rsidRDefault="006104A2">
      <w:pPr>
        <w:spacing w:before="120" w:after="120"/>
        <w:jc w:val="both"/>
        <w:rPr>
          <w:b/>
          <w:bCs/>
        </w:rPr>
      </w:pPr>
      <w:bookmarkStart w:id="17" w:name="_Hlk195873642"/>
      <w:r>
        <w:rPr>
          <w:b/>
          <w:bCs/>
        </w:rPr>
        <w:t>Объемы добычи газа в России, в том числе доля Группы Газпром</w:t>
      </w:r>
      <w:bookmarkEnd w:id="15"/>
      <w:bookmarkEnd w:id="16"/>
      <w:bookmarkEnd w:id="17"/>
    </w:p>
    <w:tbl>
      <w:tblPr>
        <w:tblpPr w:leftFromText="180" w:rightFromText="180" w:vertAnchor="text" w:tblpXSpec="center" w:tblpY="1"/>
        <w:tblW w:w="9322" w:type="dxa"/>
        <w:jc w:val="center"/>
        <w:tblLayout w:type="fixed"/>
        <w:tblLook w:val="04A0" w:firstRow="1" w:lastRow="0" w:firstColumn="1" w:lastColumn="0" w:noHBand="0" w:noVBand="1"/>
      </w:tblPr>
      <w:tblGrid>
        <w:gridCol w:w="3114"/>
        <w:gridCol w:w="1275"/>
        <w:gridCol w:w="1531"/>
        <w:gridCol w:w="1673"/>
        <w:gridCol w:w="1729"/>
      </w:tblGrid>
      <w:tr w:rsidR="00A02ECF">
        <w:trPr>
          <w:tblHeader/>
          <w:jc w:val="center"/>
        </w:trPr>
        <w:tc>
          <w:tcPr>
            <w:tcW w:w="3114" w:type="dxa"/>
            <w:tcBorders>
              <w:top w:val="single" w:sz="4" w:space="0" w:color="000000"/>
              <w:left w:val="single" w:sz="4" w:space="0" w:color="000000"/>
              <w:bottom w:val="single" w:sz="4" w:space="0" w:color="000000"/>
              <w:right w:val="single" w:sz="4" w:space="0" w:color="000000"/>
            </w:tcBorders>
            <w:vAlign w:val="center"/>
          </w:tcPr>
          <w:p w:rsidR="00A02ECF" w:rsidRDefault="006104A2">
            <w:pPr>
              <w:spacing w:after="0"/>
              <w:rPr>
                <w:b/>
              </w:rPr>
            </w:pPr>
            <w:r>
              <w:rPr>
                <w:b/>
              </w:rPr>
              <w:t>Наименование показателя</w:t>
            </w:r>
          </w:p>
        </w:tc>
        <w:tc>
          <w:tcPr>
            <w:tcW w:w="1275" w:type="dxa"/>
            <w:tcBorders>
              <w:top w:val="single" w:sz="4" w:space="0" w:color="000000"/>
              <w:left w:val="single" w:sz="4" w:space="0" w:color="000000"/>
              <w:bottom w:val="single" w:sz="4" w:space="0" w:color="000000"/>
              <w:right w:val="single" w:sz="4" w:space="0" w:color="000000"/>
            </w:tcBorders>
          </w:tcPr>
          <w:p w:rsidR="00A02ECF" w:rsidRDefault="006104A2">
            <w:pPr>
              <w:spacing w:after="0"/>
              <w:jc w:val="center"/>
              <w:rPr>
                <w:b/>
              </w:rPr>
            </w:pPr>
            <w:r>
              <w:rPr>
                <w:rFonts w:eastAsia="Calibri"/>
                <w:b/>
              </w:rPr>
              <w:t>Единицы измерения</w:t>
            </w:r>
          </w:p>
        </w:tc>
        <w:tc>
          <w:tcPr>
            <w:tcW w:w="1531" w:type="dxa"/>
            <w:tcBorders>
              <w:top w:val="single" w:sz="4" w:space="0" w:color="000000"/>
              <w:left w:val="single" w:sz="4" w:space="0" w:color="000000"/>
              <w:bottom w:val="single" w:sz="4" w:space="0" w:color="000000"/>
              <w:right w:val="single" w:sz="4" w:space="0" w:color="000000"/>
            </w:tcBorders>
            <w:vAlign w:val="center"/>
          </w:tcPr>
          <w:p w:rsidR="00A02ECF" w:rsidRDefault="006104A2">
            <w:pPr>
              <w:spacing w:after="0"/>
              <w:jc w:val="center"/>
              <w:rPr>
                <w:b/>
                <w:lang w:val="en-US"/>
              </w:rPr>
            </w:pPr>
            <w:r>
              <w:rPr>
                <w:b/>
                <w:lang w:val="en-US"/>
              </w:rPr>
              <w:t>202</w:t>
            </w:r>
            <w:r>
              <w:rPr>
                <w:b/>
              </w:rPr>
              <w:t>3 год</w:t>
            </w:r>
          </w:p>
        </w:tc>
        <w:tc>
          <w:tcPr>
            <w:tcW w:w="1673" w:type="dxa"/>
            <w:tcBorders>
              <w:top w:val="single" w:sz="4" w:space="0" w:color="000000"/>
              <w:left w:val="single" w:sz="4" w:space="0" w:color="000000"/>
              <w:bottom w:val="single" w:sz="4" w:space="0" w:color="000000"/>
              <w:right w:val="single" w:sz="4" w:space="0" w:color="000000"/>
            </w:tcBorders>
            <w:vAlign w:val="center"/>
          </w:tcPr>
          <w:p w:rsidR="00A02ECF" w:rsidRDefault="006104A2">
            <w:pPr>
              <w:spacing w:after="0"/>
              <w:jc w:val="center"/>
            </w:pPr>
            <w:r>
              <w:rPr>
                <w:b/>
                <w:lang w:val="en-US"/>
              </w:rPr>
              <w:t>202</w:t>
            </w:r>
            <w:r>
              <w:rPr>
                <w:b/>
              </w:rPr>
              <w:t>4 год</w:t>
            </w:r>
          </w:p>
        </w:tc>
        <w:tc>
          <w:tcPr>
            <w:tcW w:w="1729" w:type="dxa"/>
            <w:tcBorders>
              <w:top w:val="single" w:sz="4" w:space="0" w:color="000000"/>
              <w:left w:val="single" w:sz="4" w:space="0" w:color="000000"/>
              <w:bottom w:val="single" w:sz="4" w:space="0" w:color="000000"/>
              <w:right w:val="single" w:sz="4" w:space="0" w:color="000000"/>
            </w:tcBorders>
            <w:vAlign w:val="center"/>
          </w:tcPr>
          <w:p w:rsidR="00A02ECF" w:rsidRDefault="006104A2">
            <w:pPr>
              <w:spacing w:after="0"/>
              <w:jc w:val="center"/>
              <w:rPr>
                <w:b/>
              </w:rPr>
            </w:pPr>
            <w:r>
              <w:rPr>
                <w:b/>
                <w:lang w:val="en-US"/>
              </w:rPr>
              <w:t>202</w:t>
            </w:r>
            <w:r>
              <w:rPr>
                <w:b/>
              </w:rPr>
              <w:t>5 год</w:t>
            </w:r>
          </w:p>
        </w:tc>
      </w:tr>
      <w:tr w:rsidR="00A02ECF">
        <w:trPr>
          <w:trHeight w:val="397"/>
          <w:jc w:val="center"/>
        </w:trPr>
        <w:tc>
          <w:tcPr>
            <w:tcW w:w="3114" w:type="dxa"/>
            <w:tcBorders>
              <w:top w:val="single" w:sz="4" w:space="0" w:color="000000"/>
              <w:left w:val="single" w:sz="4" w:space="0" w:color="000000"/>
              <w:bottom w:val="single" w:sz="4" w:space="0" w:color="000000"/>
              <w:right w:val="single" w:sz="4" w:space="0" w:color="000000"/>
            </w:tcBorders>
            <w:vAlign w:val="center"/>
          </w:tcPr>
          <w:p w:rsidR="00A02ECF" w:rsidRDefault="006104A2">
            <w:pPr>
              <w:spacing w:before="0" w:after="0"/>
            </w:pPr>
            <w:r>
              <w:t>Добыча газа в России</w:t>
            </w:r>
            <w:r>
              <w:rPr>
                <w:b/>
                <w:i/>
              </w:rPr>
              <w:t xml:space="preserve"> </w:t>
            </w:r>
          </w:p>
        </w:tc>
        <w:tc>
          <w:tcPr>
            <w:tcW w:w="1275" w:type="dxa"/>
            <w:tcBorders>
              <w:top w:val="single" w:sz="4" w:space="0" w:color="000000"/>
              <w:left w:val="single" w:sz="4" w:space="0" w:color="000000"/>
              <w:bottom w:val="single" w:sz="4" w:space="0" w:color="000000"/>
              <w:right w:val="single" w:sz="4" w:space="0" w:color="000000"/>
            </w:tcBorders>
            <w:vAlign w:val="center"/>
          </w:tcPr>
          <w:p w:rsidR="00A02ECF" w:rsidRDefault="006104A2">
            <w:pPr>
              <w:spacing w:before="0" w:after="0"/>
              <w:jc w:val="center"/>
            </w:pPr>
            <w:r>
              <w:t>млрд куб. м</w:t>
            </w:r>
          </w:p>
        </w:tc>
        <w:tc>
          <w:tcPr>
            <w:tcW w:w="1531" w:type="dxa"/>
            <w:tcBorders>
              <w:top w:val="single" w:sz="4" w:space="0" w:color="000000"/>
              <w:left w:val="single" w:sz="4" w:space="0" w:color="000000"/>
              <w:bottom w:val="single" w:sz="4" w:space="0" w:color="000000"/>
              <w:right w:val="single" w:sz="4" w:space="0" w:color="000000"/>
            </w:tcBorders>
            <w:vAlign w:val="center"/>
          </w:tcPr>
          <w:p w:rsidR="00A02ECF" w:rsidRDefault="006104A2">
            <w:pPr>
              <w:spacing w:before="0" w:after="0"/>
              <w:jc w:val="center"/>
            </w:pPr>
            <w:r>
              <w:rPr>
                <w:i/>
              </w:rPr>
              <w:t>примечание – под таблицей</w:t>
            </w:r>
          </w:p>
        </w:tc>
        <w:tc>
          <w:tcPr>
            <w:tcW w:w="1673" w:type="dxa"/>
            <w:tcBorders>
              <w:top w:val="single" w:sz="4" w:space="0" w:color="000000"/>
              <w:left w:val="single" w:sz="4" w:space="0" w:color="000000"/>
              <w:bottom w:val="single" w:sz="4" w:space="0" w:color="000000"/>
              <w:right w:val="single" w:sz="4" w:space="0" w:color="000000"/>
            </w:tcBorders>
            <w:vAlign w:val="center"/>
          </w:tcPr>
          <w:p w:rsidR="00A02ECF" w:rsidRDefault="006104A2">
            <w:pPr>
              <w:spacing w:before="0" w:after="0"/>
              <w:jc w:val="center"/>
            </w:pPr>
            <w:r>
              <w:rPr>
                <w:i/>
              </w:rPr>
              <w:t>примечание – под таблицей</w:t>
            </w:r>
          </w:p>
        </w:tc>
        <w:tc>
          <w:tcPr>
            <w:tcW w:w="1729" w:type="dxa"/>
            <w:tcBorders>
              <w:top w:val="single" w:sz="4" w:space="0" w:color="000000"/>
              <w:left w:val="single" w:sz="4" w:space="0" w:color="000000"/>
              <w:bottom w:val="single" w:sz="4" w:space="0" w:color="000000"/>
              <w:right w:val="single" w:sz="4" w:space="0" w:color="000000"/>
            </w:tcBorders>
            <w:vAlign w:val="center"/>
          </w:tcPr>
          <w:p w:rsidR="00A02ECF" w:rsidRDefault="006104A2">
            <w:pPr>
              <w:spacing w:before="0" w:after="0"/>
              <w:jc w:val="center"/>
              <w:rPr>
                <w:i/>
              </w:rPr>
            </w:pPr>
            <w:r>
              <w:rPr>
                <w:i/>
              </w:rPr>
              <w:t>примечание – под таблицей</w:t>
            </w:r>
          </w:p>
        </w:tc>
      </w:tr>
      <w:tr w:rsidR="00A02ECF">
        <w:trPr>
          <w:trHeight w:val="397"/>
          <w:jc w:val="center"/>
        </w:trPr>
        <w:tc>
          <w:tcPr>
            <w:tcW w:w="3114" w:type="dxa"/>
            <w:tcBorders>
              <w:top w:val="single" w:sz="4" w:space="0" w:color="000000"/>
              <w:left w:val="single" w:sz="4" w:space="0" w:color="000000"/>
              <w:bottom w:val="single" w:sz="4" w:space="0" w:color="000000"/>
              <w:right w:val="single" w:sz="4" w:space="0" w:color="000000"/>
            </w:tcBorders>
            <w:vAlign w:val="center"/>
          </w:tcPr>
          <w:p w:rsidR="00A02ECF" w:rsidRDefault="006104A2">
            <w:pPr>
              <w:spacing w:before="0" w:after="0"/>
            </w:pPr>
            <w:r>
              <w:t xml:space="preserve">Добыча газа Группой Газпром * </w:t>
            </w:r>
          </w:p>
        </w:tc>
        <w:tc>
          <w:tcPr>
            <w:tcW w:w="1275" w:type="dxa"/>
            <w:tcBorders>
              <w:top w:val="single" w:sz="4" w:space="0" w:color="000000"/>
              <w:left w:val="single" w:sz="4" w:space="0" w:color="000000"/>
              <w:bottom w:val="single" w:sz="4" w:space="0" w:color="000000"/>
              <w:right w:val="single" w:sz="4" w:space="0" w:color="000000"/>
            </w:tcBorders>
            <w:vAlign w:val="center"/>
          </w:tcPr>
          <w:p w:rsidR="00A02ECF" w:rsidRDefault="006104A2">
            <w:pPr>
              <w:spacing w:before="0" w:after="0"/>
              <w:jc w:val="center"/>
            </w:pPr>
            <w:r>
              <w:t>млрд куб. м</w:t>
            </w:r>
          </w:p>
        </w:tc>
        <w:tc>
          <w:tcPr>
            <w:tcW w:w="1531" w:type="dxa"/>
            <w:tcBorders>
              <w:top w:val="single" w:sz="4" w:space="0" w:color="000000"/>
              <w:left w:val="single" w:sz="4" w:space="0" w:color="000000"/>
              <w:bottom w:val="single" w:sz="4" w:space="0" w:color="000000"/>
              <w:right w:val="single" w:sz="4" w:space="0" w:color="000000"/>
            </w:tcBorders>
            <w:vAlign w:val="center"/>
          </w:tcPr>
          <w:p w:rsidR="00A02ECF" w:rsidRDefault="006104A2">
            <w:pPr>
              <w:spacing w:before="0" w:after="0"/>
              <w:jc w:val="center"/>
            </w:pPr>
            <w:r>
              <w:t>355,230</w:t>
            </w:r>
          </w:p>
        </w:tc>
        <w:tc>
          <w:tcPr>
            <w:tcW w:w="1673" w:type="dxa"/>
            <w:tcBorders>
              <w:top w:val="single" w:sz="4" w:space="0" w:color="000000"/>
              <w:left w:val="single" w:sz="4" w:space="0" w:color="000000"/>
              <w:bottom w:val="single" w:sz="4" w:space="0" w:color="000000"/>
              <w:right w:val="single" w:sz="4" w:space="0" w:color="000000"/>
            </w:tcBorders>
            <w:vAlign w:val="center"/>
          </w:tcPr>
          <w:p w:rsidR="00A02ECF" w:rsidRDefault="006104A2">
            <w:pPr>
              <w:spacing w:before="0" w:after="0"/>
              <w:jc w:val="center"/>
            </w:pPr>
            <w:r>
              <w:t>416,190</w:t>
            </w:r>
          </w:p>
        </w:tc>
        <w:tc>
          <w:tcPr>
            <w:tcW w:w="1729" w:type="dxa"/>
            <w:tcBorders>
              <w:top w:val="single" w:sz="4" w:space="0" w:color="000000"/>
              <w:left w:val="single" w:sz="4" w:space="0" w:color="000000"/>
              <w:bottom w:val="single" w:sz="4" w:space="0" w:color="000000"/>
              <w:right w:val="single" w:sz="4" w:space="0" w:color="000000"/>
            </w:tcBorders>
            <w:vAlign w:val="center"/>
          </w:tcPr>
          <w:p w:rsidR="00A02ECF" w:rsidRDefault="006104A2">
            <w:pPr>
              <w:spacing w:before="0" w:after="0"/>
              <w:jc w:val="center"/>
            </w:pPr>
            <w:r>
              <w:t>405,397</w:t>
            </w:r>
          </w:p>
        </w:tc>
      </w:tr>
      <w:tr w:rsidR="00A02ECF">
        <w:trPr>
          <w:trHeight w:val="397"/>
          <w:jc w:val="center"/>
        </w:trPr>
        <w:tc>
          <w:tcPr>
            <w:tcW w:w="3114" w:type="dxa"/>
            <w:tcBorders>
              <w:top w:val="single" w:sz="4" w:space="0" w:color="000000"/>
              <w:left w:val="single" w:sz="4" w:space="0" w:color="000000"/>
              <w:bottom w:val="single" w:sz="4" w:space="0" w:color="000000"/>
              <w:right w:val="single" w:sz="4" w:space="0" w:color="000000"/>
            </w:tcBorders>
            <w:vAlign w:val="center"/>
          </w:tcPr>
          <w:p w:rsidR="00A02ECF" w:rsidRDefault="006104A2">
            <w:pPr>
              <w:spacing w:before="0"/>
            </w:pPr>
            <w:r>
              <w:t xml:space="preserve">Добыча газа Группой Газпром </w:t>
            </w:r>
            <w:r>
              <w:br w:type="textWrapping" w:clear="all"/>
              <w:t>от добычи газа в России</w:t>
            </w:r>
          </w:p>
        </w:tc>
        <w:tc>
          <w:tcPr>
            <w:tcW w:w="1275" w:type="dxa"/>
            <w:tcBorders>
              <w:top w:val="single" w:sz="4" w:space="0" w:color="000000"/>
              <w:left w:val="single" w:sz="4" w:space="0" w:color="000000"/>
              <w:bottom w:val="single" w:sz="4" w:space="0" w:color="000000"/>
              <w:right w:val="single" w:sz="4" w:space="0" w:color="000000"/>
            </w:tcBorders>
            <w:vAlign w:val="center"/>
          </w:tcPr>
          <w:p w:rsidR="00A02ECF" w:rsidRDefault="006104A2">
            <w:pPr>
              <w:spacing w:before="0" w:after="0"/>
              <w:jc w:val="center"/>
            </w:pPr>
            <w:r>
              <w:t>%</w:t>
            </w:r>
          </w:p>
        </w:tc>
        <w:tc>
          <w:tcPr>
            <w:tcW w:w="1531" w:type="dxa"/>
            <w:tcBorders>
              <w:top w:val="single" w:sz="4" w:space="0" w:color="000000"/>
              <w:left w:val="single" w:sz="4" w:space="0" w:color="000000"/>
              <w:bottom w:val="single" w:sz="4" w:space="0" w:color="000000"/>
              <w:right w:val="single" w:sz="4" w:space="0" w:color="000000"/>
            </w:tcBorders>
            <w:vAlign w:val="center"/>
          </w:tcPr>
          <w:p w:rsidR="00A02ECF" w:rsidRDefault="006104A2">
            <w:pPr>
              <w:spacing w:before="0" w:after="0"/>
              <w:jc w:val="center"/>
            </w:pPr>
            <w:r>
              <w:rPr>
                <w:i/>
              </w:rPr>
              <w:t>примечание – под таблицей</w:t>
            </w:r>
          </w:p>
        </w:tc>
        <w:tc>
          <w:tcPr>
            <w:tcW w:w="1673" w:type="dxa"/>
            <w:tcBorders>
              <w:top w:val="single" w:sz="4" w:space="0" w:color="000000"/>
              <w:left w:val="single" w:sz="4" w:space="0" w:color="000000"/>
              <w:bottom w:val="single" w:sz="4" w:space="0" w:color="000000"/>
              <w:right w:val="single" w:sz="4" w:space="0" w:color="000000"/>
            </w:tcBorders>
            <w:vAlign w:val="center"/>
          </w:tcPr>
          <w:p w:rsidR="00A02ECF" w:rsidRDefault="006104A2">
            <w:pPr>
              <w:spacing w:before="0" w:after="0"/>
              <w:jc w:val="center"/>
            </w:pPr>
            <w:r>
              <w:rPr>
                <w:i/>
              </w:rPr>
              <w:t>примечание – под таблицей</w:t>
            </w:r>
          </w:p>
        </w:tc>
        <w:tc>
          <w:tcPr>
            <w:tcW w:w="1729" w:type="dxa"/>
            <w:tcBorders>
              <w:top w:val="single" w:sz="4" w:space="0" w:color="000000"/>
              <w:left w:val="single" w:sz="4" w:space="0" w:color="000000"/>
              <w:bottom w:val="single" w:sz="4" w:space="0" w:color="000000"/>
              <w:right w:val="single" w:sz="4" w:space="0" w:color="000000"/>
            </w:tcBorders>
            <w:vAlign w:val="center"/>
          </w:tcPr>
          <w:p w:rsidR="00A02ECF" w:rsidRDefault="006104A2">
            <w:pPr>
              <w:spacing w:before="0" w:after="0"/>
              <w:jc w:val="center"/>
              <w:rPr>
                <w:i/>
              </w:rPr>
            </w:pPr>
            <w:r>
              <w:rPr>
                <w:i/>
              </w:rPr>
              <w:t>примечание – под таблицей</w:t>
            </w:r>
          </w:p>
        </w:tc>
      </w:tr>
    </w:tbl>
    <w:p w:rsidR="00A02ECF" w:rsidRDefault="006104A2">
      <w:pPr>
        <w:spacing w:before="0" w:after="0"/>
        <w:jc w:val="both"/>
        <w:rPr>
          <w:bCs/>
          <w:i/>
          <w:iCs/>
          <w:sz w:val="18"/>
          <w:szCs w:val="18"/>
        </w:rPr>
      </w:pPr>
      <w:bookmarkStart w:id="18" w:name="_Hlk103582036"/>
      <w:r>
        <w:rPr>
          <w:bCs/>
          <w:i/>
          <w:iCs/>
          <w:sz w:val="18"/>
          <w:szCs w:val="18"/>
        </w:rPr>
        <w:t>Примечание:</w:t>
      </w:r>
      <w:r>
        <w:rPr>
          <w:bCs/>
          <w:iCs/>
          <w:sz w:val="18"/>
          <w:szCs w:val="18"/>
        </w:rPr>
        <w:t xml:space="preserve"> </w:t>
      </w:r>
      <w:bookmarkStart w:id="19" w:name="_Hlk185511009"/>
      <w:r>
        <w:rPr>
          <w:bCs/>
          <w:i/>
          <w:iCs/>
          <w:sz w:val="18"/>
          <w:szCs w:val="18"/>
        </w:rPr>
        <w:t>данные раскрываются (предоставляются) с учетом требований распоряжения Правительства Российской Федерации от 26.04.2023 № 1074-р.</w:t>
      </w:r>
    </w:p>
    <w:p w:rsidR="00A02ECF" w:rsidRDefault="006104A2">
      <w:pPr>
        <w:spacing w:before="0" w:after="0"/>
        <w:jc w:val="both"/>
        <w:rPr>
          <w:bCs/>
          <w:i/>
          <w:iCs/>
          <w:sz w:val="18"/>
          <w:szCs w:val="18"/>
        </w:rPr>
      </w:pPr>
      <w:r>
        <w:rPr>
          <w:bCs/>
          <w:i/>
          <w:iCs/>
          <w:sz w:val="18"/>
          <w:szCs w:val="18"/>
        </w:rPr>
        <w:t xml:space="preserve">* Без учета доли Группы Газпром в добыче организаций, инвестиции в которые классифицированы как совместные операции.  </w:t>
      </w:r>
    </w:p>
    <w:p w:rsidR="00A02ECF" w:rsidRDefault="006104A2">
      <w:pPr>
        <w:spacing w:before="120"/>
        <w:jc w:val="both"/>
        <w:rPr>
          <w:b/>
          <w:bCs/>
          <w:i/>
          <w:iCs/>
        </w:rPr>
      </w:pPr>
      <w:bookmarkStart w:id="20" w:name="_Hlk185336423"/>
      <w:bookmarkEnd w:id="18"/>
      <w:bookmarkEnd w:id="19"/>
      <w:r>
        <w:rPr>
          <w:b/>
          <w:bCs/>
          <w:i/>
          <w:iCs/>
        </w:rPr>
        <w:t>Основным газодобывающим районом страны остается Ямало-Ненецкий автономный округ, где сосредоточено 63% всех запасов России.</w:t>
      </w:r>
    </w:p>
    <w:p w:rsidR="00A02ECF" w:rsidRDefault="006104A2">
      <w:pPr>
        <w:spacing w:before="120"/>
        <w:jc w:val="both"/>
        <w:rPr>
          <w:b/>
          <w:bCs/>
          <w:i/>
          <w:iCs/>
        </w:rPr>
      </w:pPr>
      <w:r>
        <w:rPr>
          <w:b/>
          <w:bCs/>
          <w:i/>
          <w:iCs/>
        </w:rPr>
        <w:t>Стратегически приоритетными регионами добычи газа на долгосрочную перспективу являются Арктическая зона Российской Федерации, включая полуостров Ямал, акватории северных и дальневосточных морей России, Восточная Сибирь и Дальний Восток, где добыча газа будет развиваться на базе освоения месторождений на шельфе о. Сахалин, в Республике Саха (Якутия), а также в Иркутской области.</w:t>
      </w:r>
    </w:p>
    <w:p w:rsidR="00A02ECF" w:rsidRDefault="006104A2">
      <w:pPr>
        <w:spacing w:before="120"/>
        <w:jc w:val="both"/>
        <w:rPr>
          <w:b/>
          <w:bCs/>
          <w:i/>
          <w:iCs/>
        </w:rPr>
      </w:pPr>
      <w:r>
        <w:rPr>
          <w:b/>
          <w:bCs/>
          <w:i/>
          <w:iCs/>
        </w:rPr>
        <w:t xml:space="preserve">Поддержка переориентации использования газа с топливных на сырьевые цели обеспечит рост производства продукции с более высокой добавленной стоимостью. Техническая модернизация и реконструкция действующих газоперерабатывающих заводов будут направлены на повышение извлечения ценных компонентов из газа, рост экономической эффективности и экологической безопасности предприятий. В результате последовательного углубления переработки углеводородных ресурсов намечается рост производства моторного топлива, сжиженных газов и полимеров. </w:t>
      </w:r>
    </w:p>
    <w:p w:rsidR="00A02ECF" w:rsidRDefault="006104A2">
      <w:pPr>
        <w:spacing w:before="120"/>
        <w:jc w:val="both"/>
        <w:rPr>
          <w:b/>
          <w:bCs/>
          <w:i/>
          <w:iCs/>
        </w:rPr>
      </w:pPr>
      <w:r>
        <w:rPr>
          <w:b/>
          <w:bCs/>
          <w:i/>
          <w:iCs/>
        </w:rPr>
        <w:t>Группа Газпром продолжает вести активную работу с федеральными органами исполнительной власти по</w:t>
      </w:r>
      <w:r>
        <w:rPr>
          <w:b/>
          <w:bCs/>
          <w:i/>
          <w:iCs/>
          <w:lang w:val="en-US"/>
        </w:rPr>
        <w:t> </w:t>
      </w:r>
      <w:r>
        <w:rPr>
          <w:b/>
          <w:bCs/>
          <w:i/>
          <w:iCs/>
        </w:rPr>
        <w:t>вопросам совершенствования ценовой политики государства в газовой сфере.</w:t>
      </w:r>
    </w:p>
    <w:p w:rsidR="00A02ECF" w:rsidRDefault="006104A2">
      <w:pPr>
        <w:spacing w:before="120"/>
        <w:jc w:val="both"/>
        <w:rPr>
          <w:b/>
          <w:bCs/>
          <w:i/>
          <w:iCs/>
        </w:rPr>
      </w:pPr>
      <w:r>
        <w:rPr>
          <w:b/>
          <w:bCs/>
          <w:i/>
          <w:iCs/>
        </w:rPr>
        <w:t>Рынок газа Российской Федерации функционирует в условиях кардинально различающихся подходов по определению цен для различных поставщиков. Газ, добытый ПАО «Газпром», поставляемый российским потребителям, газоснабжение которых осуществляется посредством систем газоснабжения, реализуется по ценам, устанавливаемым государством (за исключением ограниченных объемов, разрешенных к реализации через биржу, а также газа при его сжижении, регазификации и для производства метанола для его последующего экспорта). Государственному регулированию также подлежат тарифы на транспортировку газа независимых производителей по газотранспортной системе ПАО</w:t>
      </w:r>
      <w:r>
        <w:t> </w:t>
      </w:r>
      <w:r>
        <w:rPr>
          <w:b/>
          <w:bCs/>
          <w:i/>
          <w:iCs/>
        </w:rPr>
        <w:t>«Газпром». В то же время цены на газ, продаваемый независимыми производителями, формируются на договорной основе.</w:t>
      </w:r>
    </w:p>
    <w:p w:rsidR="00A02ECF" w:rsidRDefault="006104A2">
      <w:pPr>
        <w:spacing w:before="120"/>
        <w:jc w:val="both"/>
        <w:rPr>
          <w:b/>
          <w:bCs/>
          <w:i/>
          <w:iCs/>
        </w:rPr>
      </w:pPr>
      <w:bookmarkStart w:id="21" w:name="_Hlk182824207"/>
      <w:bookmarkEnd w:id="20"/>
      <w:r>
        <w:rPr>
          <w:b/>
          <w:bCs/>
          <w:i/>
          <w:iCs/>
        </w:rPr>
        <w:t>ПАО «Газпром» постоянно проводит работу, направленную на переход от регулируемых к договорным ценам при продаже добытого им и его аффилированными лицами газа российским потребителям. Для реализации указанных целей постановлением Правительства Российской Федерации от 28 мая 2007 г</w:t>
      </w:r>
      <w:hyperlink r:id="rId8" w:tooltip="http://u-sadpapp.adm.gazprom.ru/sad/component/doc_search_view?number=333&amp;date=28.05.2007" w:history="1">
        <w:r>
          <w:rPr>
            <w:b/>
            <w:bCs/>
            <w:i/>
            <w:iCs/>
          </w:rPr>
          <w:t>.</w:t>
        </w:r>
      </w:hyperlink>
      <w:r>
        <w:rPr>
          <w:b/>
          <w:bCs/>
          <w:i/>
          <w:iCs/>
        </w:rPr>
        <w:t xml:space="preserve"> № 333 «О совершенствовании государственного регулирования цен на газ» ПАО «Газпром» была разрешена продажа газа по ценам, устанавливаемым по соглашению сторон в регулируемом диапазоне предельных максимального и минимального уровней для следующих групп конечных потребителей (кроме населения):</w:t>
      </w:r>
    </w:p>
    <w:p w:rsidR="00A02ECF" w:rsidRDefault="006104A2">
      <w:pPr>
        <w:tabs>
          <w:tab w:val="left" w:pos="-720"/>
          <w:tab w:val="left" w:pos="142"/>
          <w:tab w:val="left" w:pos="720"/>
          <w:tab w:val="left" w:pos="1440"/>
          <w:tab w:val="left" w:pos="2160"/>
          <w:tab w:val="left" w:pos="2880"/>
          <w:tab w:val="left" w:pos="3600"/>
          <w:tab w:val="left" w:pos="4320"/>
        </w:tabs>
        <w:spacing w:before="60"/>
        <w:jc w:val="both"/>
        <w:rPr>
          <w:b/>
          <w:i/>
        </w:rPr>
      </w:pPr>
      <w:r>
        <w:rPr>
          <w:b/>
          <w:i/>
        </w:rPr>
        <w:t xml:space="preserve">- впервые заключивших договоры поставки газа с началом поставки после 1 июля 2007 г.; </w:t>
      </w:r>
    </w:p>
    <w:p w:rsidR="00A02ECF" w:rsidRDefault="006104A2">
      <w:pPr>
        <w:tabs>
          <w:tab w:val="left" w:pos="-720"/>
          <w:tab w:val="left" w:pos="142"/>
          <w:tab w:val="left" w:pos="720"/>
          <w:tab w:val="left" w:pos="1440"/>
          <w:tab w:val="left" w:pos="2160"/>
          <w:tab w:val="left" w:pos="2880"/>
          <w:tab w:val="left" w:pos="3600"/>
          <w:tab w:val="left" w:pos="4320"/>
        </w:tabs>
        <w:spacing w:before="60"/>
        <w:jc w:val="both"/>
        <w:rPr>
          <w:b/>
          <w:i/>
        </w:rPr>
      </w:pPr>
      <w:r>
        <w:rPr>
          <w:b/>
          <w:i/>
        </w:rPr>
        <w:t xml:space="preserve">- приобретающих газ сверх объемов, зафиксированных в договорах поставки газа на 2007 г. </w:t>
      </w:r>
    </w:p>
    <w:p w:rsidR="00A02ECF" w:rsidRDefault="006104A2">
      <w:pPr>
        <w:spacing w:before="120"/>
        <w:jc w:val="both"/>
        <w:rPr>
          <w:b/>
          <w:bCs/>
          <w:i/>
          <w:iCs/>
        </w:rPr>
      </w:pPr>
      <w:r>
        <w:rPr>
          <w:b/>
          <w:bCs/>
          <w:i/>
          <w:iCs/>
        </w:rPr>
        <w:t>Биржевая торговля газом является инструментом в области формирования рыночных принципов и</w:t>
      </w:r>
      <w:r>
        <w:rPr>
          <w:b/>
          <w:bCs/>
          <w:i/>
          <w:iCs/>
          <w:lang w:val="en-US"/>
        </w:rPr>
        <w:t> </w:t>
      </w:r>
      <w:r>
        <w:rPr>
          <w:b/>
          <w:bCs/>
          <w:i/>
          <w:iCs/>
        </w:rPr>
        <w:t>повышения прозрачности ценообразования на рынке газа, может обеспечить получение рыночных индикаторов для системы ценообразования.</w:t>
      </w:r>
    </w:p>
    <w:p w:rsidR="00A02ECF" w:rsidRDefault="006104A2">
      <w:pPr>
        <w:spacing w:before="120"/>
        <w:jc w:val="both"/>
        <w:rPr>
          <w:b/>
          <w:bCs/>
          <w:i/>
          <w:iCs/>
        </w:rPr>
      </w:pPr>
      <w:bookmarkStart w:id="22" w:name="_Hlk198799780"/>
      <w:bookmarkStart w:id="23" w:name="_Hlk185336745"/>
      <w:bookmarkEnd w:id="21"/>
      <w:r>
        <w:rPr>
          <w:b/>
          <w:bCs/>
          <w:i/>
          <w:iCs/>
        </w:rPr>
        <w:t>В соответствии с изменениями, внесенными постановлением Правительства Российской Федерации от</w:t>
      </w:r>
      <w:r>
        <w:rPr>
          <w:b/>
          <w:bCs/>
          <w:i/>
          <w:iCs/>
          <w:lang w:val="en-US"/>
        </w:rPr>
        <w:t> </w:t>
      </w:r>
      <w:r>
        <w:rPr>
          <w:b/>
          <w:bCs/>
          <w:i/>
          <w:iCs/>
        </w:rPr>
        <w:t xml:space="preserve">17 августа 2019 г. № 1063 «О внесении изменений в постановление Правительства Российской Федерации от 16 апреля 2012 г. № 323 «О реализации природного газа на организованных торгах и внесении изменений в акты Правительства Российской Федерации по вопросам государственного регулирования цен на газ и доступа к газотранспортной системе ПАО «Газпром», в целях дальнейшего </w:t>
      </w:r>
      <w:r>
        <w:rPr>
          <w:b/>
          <w:bCs/>
          <w:i/>
          <w:iCs/>
        </w:rPr>
        <w:lastRenderedPageBreak/>
        <w:t>развития рыночных принципов ценообразования на газ:</w:t>
      </w:r>
    </w:p>
    <w:p w:rsidR="00A02ECF" w:rsidRDefault="006104A2">
      <w:pPr>
        <w:tabs>
          <w:tab w:val="left" w:pos="-720"/>
          <w:tab w:val="left" w:pos="720"/>
          <w:tab w:val="left" w:pos="1440"/>
          <w:tab w:val="left" w:pos="2160"/>
          <w:tab w:val="left" w:pos="2880"/>
          <w:tab w:val="left" w:pos="3600"/>
          <w:tab w:val="left" w:pos="4320"/>
        </w:tabs>
        <w:spacing w:before="60"/>
        <w:jc w:val="both"/>
        <w:rPr>
          <w:b/>
          <w:i/>
        </w:rPr>
      </w:pPr>
      <w:r>
        <w:rPr>
          <w:b/>
          <w:i/>
        </w:rPr>
        <w:t>- ПАО «Газпром» разрешено реализовывать газ на организованных торгах в объеме до 25 млрд куб. м в год;</w:t>
      </w:r>
    </w:p>
    <w:p w:rsidR="00A02ECF" w:rsidRDefault="006104A2">
      <w:pPr>
        <w:tabs>
          <w:tab w:val="left" w:pos="-720"/>
          <w:tab w:val="left" w:pos="720"/>
          <w:tab w:val="left" w:pos="1440"/>
          <w:tab w:val="left" w:pos="2160"/>
          <w:tab w:val="left" w:pos="2880"/>
          <w:tab w:val="left" w:pos="3600"/>
          <w:tab w:val="left" w:pos="4320"/>
        </w:tabs>
        <w:spacing w:before="60"/>
        <w:jc w:val="both"/>
        <w:rPr>
          <w:b/>
          <w:i/>
        </w:rPr>
      </w:pPr>
      <w:r>
        <w:rPr>
          <w:b/>
          <w:i/>
        </w:rPr>
        <w:t>- отменен принцип паритета реализации природного газа на организованных торгах между ПАО «Газпром» и независимыми организациями.</w:t>
      </w:r>
      <w:bookmarkEnd w:id="22"/>
    </w:p>
    <w:p w:rsidR="00A02ECF" w:rsidRDefault="006104A2">
      <w:pPr>
        <w:spacing w:before="120"/>
        <w:jc w:val="both"/>
        <w:rPr>
          <w:b/>
          <w:bCs/>
          <w:i/>
          <w:iCs/>
        </w:rPr>
      </w:pPr>
      <w:r>
        <w:rPr>
          <w:b/>
          <w:bCs/>
          <w:i/>
          <w:iCs/>
        </w:rPr>
        <w:t xml:space="preserve">Уровень средневзвешенных цен реализации газа ПАО «Газпром» по итогам 2025 года сложился </w:t>
      </w:r>
      <w:r>
        <w:rPr>
          <w:b/>
          <w:bCs/>
          <w:i/>
        </w:rPr>
        <w:t>выше среднегодовой</w:t>
      </w:r>
      <w:r>
        <w:rPr>
          <w:b/>
          <w:bCs/>
        </w:rPr>
        <w:t xml:space="preserve"> </w:t>
      </w:r>
      <w:r>
        <w:rPr>
          <w:b/>
          <w:bCs/>
          <w:i/>
          <w:iCs/>
        </w:rPr>
        <w:t>регулируемой оптовой цены в Ямало-Ненецком автономном округе на балансовом пункте «КС Надым» – на 75,1%. На балансовом пункте «Локосово» в 2025 году реализации газа ПАО «Газпром» не было.</w:t>
      </w:r>
    </w:p>
    <w:p w:rsidR="00A02ECF" w:rsidRDefault="006104A2">
      <w:pPr>
        <w:spacing w:before="120"/>
        <w:jc w:val="both"/>
        <w:rPr>
          <w:b/>
          <w:i/>
          <w:highlight w:val="white"/>
        </w:rPr>
      </w:pPr>
      <w:r>
        <w:rPr>
          <w:b/>
          <w:i/>
          <w:highlight w:val="white"/>
        </w:rPr>
        <w:t>По итогам 2025 года доля Группы Газпром в объемах газа, реализованного на площадке АО Петербургская Биржа (включая месячные и суточные торги), составила 0,01% (в 2024 году – 1%), независимых производителей газа 97,92% (в 2024 году – 98%), перепродажа невыбранных объемов газа – 2,07% (в 2024 году – 1%).</w:t>
      </w:r>
    </w:p>
    <w:p w:rsidR="00A02ECF" w:rsidRDefault="006104A2">
      <w:pPr>
        <w:tabs>
          <w:tab w:val="center" w:pos="4677"/>
          <w:tab w:val="right" w:pos="9355"/>
        </w:tabs>
        <w:spacing w:before="120"/>
        <w:jc w:val="both"/>
        <w:rPr>
          <w:b/>
          <w:i/>
          <w:highlight w:val="white"/>
        </w:rPr>
      </w:pPr>
      <w:r>
        <w:rPr>
          <w:b/>
          <w:i/>
          <w:highlight w:val="white"/>
        </w:rPr>
        <w:t xml:space="preserve">С мая 2022 года ПАО «Газпром» осуществляет функции балансирующего покупателя, заключающиеся в выкупе (с установленным дисконтом) не выбранных и не перепроданных покупателями объемов биржевого газа. По итогам 2025 года ПАО «Газпром» выкуплено 17,4 млн куб. м несбалансированных объемов биржевого газа. </w:t>
      </w:r>
    </w:p>
    <w:p w:rsidR="00A02ECF" w:rsidRDefault="006104A2">
      <w:pPr>
        <w:spacing w:before="120"/>
        <w:jc w:val="both"/>
        <w:rPr>
          <w:b/>
          <w:bCs/>
          <w:i/>
          <w:iCs/>
        </w:rPr>
      </w:pPr>
      <w:r>
        <w:rPr>
          <w:b/>
          <w:bCs/>
          <w:i/>
          <w:iCs/>
        </w:rPr>
        <w:t>Постановлением Правительства Российской Федерации от 27 декабря 2017 г. № 1663 ПАО «Газпром» и его аффилированным лицам разрешено с 1 января 2018 г. реализовывать добытый ими природный газ по нерегулируемым оптовым ценам организациям для производства газа природного в сжиженном состоянии из газа природного в газообразном состоянии для последующего экспорта.</w:t>
      </w:r>
    </w:p>
    <w:p w:rsidR="00A02ECF" w:rsidRDefault="006104A2">
      <w:pPr>
        <w:spacing w:before="120"/>
        <w:jc w:val="both"/>
        <w:rPr>
          <w:b/>
          <w:bCs/>
          <w:i/>
          <w:iCs/>
        </w:rPr>
      </w:pPr>
      <w:r>
        <w:rPr>
          <w:b/>
          <w:bCs/>
          <w:i/>
          <w:iCs/>
        </w:rPr>
        <w:t>Кроме того, постановлением Правительства  Российской Федерации от 29 октября 2018 г. № 1282 «О некоторых вопросах реализации газа в Российской Федерации» ПАО «Газпром» и его аффилированным лицам разрешено реализовывать добытый ими природный газ по нерегулируемым оптовым ценам организациям, заключившим договоры поставки газа после 1 ноября 2018 г., предусматривающие начало поставки природного газа после 1 января 2020 г., для производства метанола из газа природного в газообразном состоянии для последующего экспорта.</w:t>
      </w:r>
    </w:p>
    <w:p w:rsidR="00A02ECF" w:rsidRDefault="006104A2">
      <w:pPr>
        <w:spacing w:before="120"/>
        <w:jc w:val="both"/>
        <w:rPr>
          <w:sz w:val="24"/>
          <w:szCs w:val="24"/>
        </w:rPr>
      </w:pPr>
      <w:r>
        <w:rPr>
          <w:b/>
          <w:i/>
        </w:rPr>
        <w:t>Также принято постановление Правительства Российской Федерации от 30 ноября 2018 г. № 1442 «О внесении изменений в некоторые акты Правительства Российской Федерации по вопросам государственного регулирования цен на газ», предусматривающее отмену государственного регулирования цен на газ, поставляемый промышленным потребителям с применением технологии по сжижению и (или) его регазификации.</w:t>
      </w:r>
    </w:p>
    <w:p w:rsidR="00A02ECF" w:rsidRDefault="006104A2">
      <w:pPr>
        <w:spacing w:before="120"/>
        <w:jc w:val="both"/>
        <w:rPr>
          <w:b/>
          <w:i/>
        </w:rPr>
      </w:pPr>
      <w:r>
        <w:rPr>
          <w:b/>
          <w:i/>
        </w:rPr>
        <w:t>В соответствии с Федеральным законом Российской Федерации от 11 июня 2021 г. № 184-ФЗ «О внесении изменений в Федеральный закон «О газоснабжении в Российской Федерации» для ускоренного развития газификации введен единый центр ответственности по вопросам газификации и по доведению газопроводов до границ земельных участков граждан в газифицированных населенных пунктах без взимания их средств (догазификация). Таким центром ответственности определен единый оператор газификации (аффилированная с собственником единой системы газоснабжения организация – ООО «Газпром газификация» или региональный оператор газоснабжения – организация, не являющаяся единым оператором газификации, осуществляющая эксплуатацию и развитие на территории соответствующего субъекта Российской Федерации, федеральной территории газораспределительных сетей и их объектов, оказывающая услуги, связанные с подачей газа его потребителям и их обслуживанием, владеющая на праве собственности или ином законном основании газораспределительными сетями, общая протяженность которых является наибольшей по сравнению с распределительными сетями, принадлежащими иным газораспределительным организациям и расположенными на территории соответствующего субъекта). Работа осуществляется совместно с органами государственной власти в соответствии с программами газификации.</w:t>
      </w:r>
    </w:p>
    <w:p w:rsidR="00A02ECF" w:rsidRDefault="006104A2">
      <w:pPr>
        <w:spacing w:before="120"/>
        <w:jc w:val="both"/>
        <w:rPr>
          <w:b/>
          <w:i/>
        </w:rPr>
      </w:pPr>
      <w:r>
        <w:rPr>
          <w:b/>
          <w:i/>
        </w:rPr>
        <w:t>Данный подход призван синхронизировать работу по сооружению объектов газификации и сократить время на подключение потребителей к сетям. Выполняется работа по догазификации.</w:t>
      </w:r>
    </w:p>
    <w:p w:rsidR="00A02ECF" w:rsidRDefault="006104A2">
      <w:pPr>
        <w:spacing w:before="120"/>
        <w:jc w:val="both"/>
        <w:rPr>
          <w:b/>
          <w:i/>
        </w:rPr>
      </w:pPr>
      <w:r>
        <w:rPr>
          <w:b/>
          <w:i/>
        </w:rPr>
        <w:t>Распоряжением Правительства Российской Федерации от 20 июля 2021 г. № 2000-р ООО «Газпром газификация» определено в качестве единого оператора газификации. С учетом Распоряжения Правительства Российской Федерации от 15 декабря 2021 г.  № 3603-р компания является единым оператором газификации на территории 73 субъектов Российской Федерации и на федеральной территории «Сириус».</w:t>
      </w:r>
    </w:p>
    <w:p w:rsidR="00A02ECF" w:rsidRDefault="006104A2">
      <w:pPr>
        <w:spacing w:before="120"/>
        <w:jc w:val="both"/>
        <w:rPr>
          <w:b/>
          <w:bCs/>
          <w:i/>
          <w:highlight w:val="white"/>
        </w:rPr>
      </w:pPr>
      <w:bookmarkStart w:id="24" w:name="_Hlk225777243"/>
      <w:r>
        <w:rPr>
          <w:b/>
          <w:i/>
          <w:highlight w:val="white"/>
        </w:rPr>
        <w:t xml:space="preserve">Постановлением от 12.12.2025 № 2019 «Об индексации цен (тарифов) в сфере газоснабжения» </w:t>
      </w:r>
      <w:r>
        <w:rPr>
          <w:b/>
          <w:i/>
          <w:highlight w:val="white"/>
        </w:rPr>
        <w:lastRenderedPageBreak/>
        <w:t>Правительство Российской Федерации приняло решение установить:</w:t>
      </w:r>
    </w:p>
    <w:p w:rsidR="00A02ECF" w:rsidRDefault="006104A2">
      <w:pPr>
        <w:spacing w:before="120"/>
        <w:ind w:firstLine="284"/>
        <w:jc w:val="both"/>
        <w:rPr>
          <w:b/>
          <w:bCs/>
          <w:i/>
        </w:rPr>
      </w:pPr>
      <w:r>
        <w:rPr>
          <w:b/>
          <w:i/>
          <w:highlight w:val="white"/>
        </w:rPr>
        <w:t>- оптовые цены на природный газ, добываемый и реализуемый потребителям Российской Федерации, в размере, увеличенном с 1 октября 2026 г. на 9,6 процента;</w:t>
      </w:r>
    </w:p>
    <w:p w:rsidR="00A02ECF" w:rsidRDefault="006104A2">
      <w:pPr>
        <w:spacing w:before="120"/>
        <w:ind w:firstLine="284"/>
        <w:jc w:val="both"/>
        <w:rPr>
          <w:b/>
          <w:i/>
          <w:highlight w:val="white"/>
        </w:rPr>
      </w:pPr>
      <w:r>
        <w:rPr>
          <w:b/>
          <w:i/>
          <w:highlight w:val="white"/>
        </w:rPr>
        <w:t>- тарифы на услуги по транспортировке газа по газораспределительным сетям для газораспределительных организаций, являющихся исполнителями, соисполнителями или участниками региональных и межрегиональных программ газификации жилищно-коммунального хозяйства, промышленных и иных организаций в размере, увеличенном с 1 октября 2026 г. на 11,6 процента, с 1 июля 2027 г. - на 11,1 процента, с 1 июля 2028 года - на 7 процентов;</w:t>
      </w:r>
    </w:p>
    <w:p w:rsidR="00A02ECF" w:rsidRDefault="006104A2">
      <w:pPr>
        <w:spacing w:before="120"/>
        <w:ind w:firstLine="284"/>
        <w:jc w:val="both"/>
        <w:rPr>
          <w:b/>
          <w:i/>
          <w:highlight w:val="white"/>
        </w:rPr>
      </w:pPr>
      <w:r>
        <w:rPr>
          <w:b/>
          <w:i/>
          <w:highlight w:val="white"/>
        </w:rPr>
        <w:t>- размер платы за снабженческо-сбытовые услуги, оказываемые потребителям газа его поставщиками, увеличенный с 1 октября 2026 г. на 5,1 процента.</w:t>
      </w:r>
    </w:p>
    <w:p w:rsidR="00A02ECF" w:rsidRDefault="006104A2">
      <w:pPr>
        <w:spacing w:before="120"/>
        <w:jc w:val="both"/>
        <w:rPr>
          <w:b/>
          <w:bCs/>
          <w:i/>
          <w:highlight w:val="white"/>
        </w:rPr>
      </w:pPr>
      <w:r>
        <w:rPr>
          <w:b/>
          <w:i/>
        </w:rPr>
        <w:t>Во исполнение постановления Правительства Российской Федерации от 12.12.2025 № 2019 приказами ФАС России от 29 декабря 2025 г. № 1213/25, 1214/25, 1217/25 и 1218/25 с 1 октября 2026 г. предусмотрена индексация оптовых цен на природный газ, добываемый ПАО «Газпром» и его аффилированными лицами, реализуемый потребителям Российской Федерации на 9,6%.</w:t>
      </w:r>
      <w:bookmarkEnd w:id="24"/>
    </w:p>
    <w:p w:rsidR="00A02ECF" w:rsidRDefault="006104A2">
      <w:pPr>
        <w:spacing w:before="120"/>
        <w:jc w:val="both"/>
        <w:rPr>
          <w:b/>
          <w:i/>
        </w:rPr>
      </w:pPr>
      <w:r>
        <w:rPr>
          <w:b/>
          <w:i/>
        </w:rPr>
        <w:t xml:space="preserve">В соответствии с Федеральным законом Российской Федерации от 28 декабря 2024 г. № 528-ФЗ «О внесении изменений в Федеральный закон «О газоснабжении в Российской Федерации» с 1 сентября 2025 г. вводится институт регуляторных контрактов, в качестве одного из инструментов долгосрочного тарифного регулирования и правового механизма гарантий осуществления инвестиционной деятельности. </w:t>
      </w:r>
    </w:p>
    <w:p w:rsidR="00A02ECF" w:rsidRDefault="006104A2">
      <w:pPr>
        <w:spacing w:before="120"/>
        <w:jc w:val="both"/>
        <w:rPr>
          <w:b/>
          <w:i/>
        </w:rPr>
      </w:pPr>
      <w:r>
        <w:rPr>
          <w:b/>
          <w:i/>
        </w:rPr>
        <w:t>В 2023 году принят Федеральный закон от 12 декабря 2023 г. № 575-ФЗ, в том числе предоставляющий отдельным категориям российских промышленных потребителей газа, определяемым Правительством Российской Федерации, преимущественное право на заключение долгосрочных договоров поставки газа из ресурсов ПАО «Газпром» и его аффилированных лиц на условиях «бери или плати».</w:t>
      </w:r>
      <w:bookmarkEnd w:id="23"/>
    </w:p>
    <w:p w:rsidR="00A02ECF" w:rsidRDefault="00A02ECF">
      <w:pPr>
        <w:spacing w:before="120"/>
        <w:jc w:val="both"/>
        <w:rPr>
          <w:b/>
          <w:bCs/>
          <w:i/>
        </w:rPr>
      </w:pPr>
    </w:p>
    <w:p w:rsidR="00A02ECF" w:rsidRDefault="006104A2">
      <w:pPr>
        <w:spacing w:before="0" w:after="0"/>
        <w:jc w:val="both"/>
        <w:rPr>
          <w:b/>
          <w:i/>
          <w:iCs/>
          <w:u w:val="single"/>
        </w:rPr>
      </w:pPr>
      <w:bookmarkStart w:id="25" w:name="_Hlk182822466"/>
      <w:bookmarkStart w:id="26" w:name="_Hlk185345321"/>
      <w:bookmarkStart w:id="27" w:name="_Hlk198799900"/>
      <w:bookmarkStart w:id="28" w:name="_Hlk103676140"/>
      <w:r>
        <w:rPr>
          <w:b/>
          <w:i/>
          <w:iCs/>
          <w:u w:val="single"/>
        </w:rPr>
        <w:t>Рынок АТР</w:t>
      </w:r>
      <w:bookmarkEnd w:id="25"/>
    </w:p>
    <w:p w:rsidR="00A02ECF" w:rsidRDefault="006104A2">
      <w:pPr>
        <w:spacing w:before="120"/>
        <w:jc w:val="both"/>
        <w:rPr>
          <w:b/>
          <w:i/>
        </w:rPr>
      </w:pPr>
      <w:r>
        <w:rPr>
          <w:b/>
          <w:i/>
        </w:rPr>
        <w:t xml:space="preserve">В 2025 году потребление газа в странах Азиатско-Тихоокеанского региона (АТР) сохранилось на уровне 2024 года. Спрос на природный газ в значительной степени сдерживался погодным фактором. </w:t>
      </w:r>
      <w:bookmarkStart w:id="29" w:name="_Hlk226648881"/>
      <w:r>
        <w:rPr>
          <w:b/>
          <w:i/>
        </w:rPr>
        <w:t>Теплая зима 2024/2025 годов и обострение торговых отношений оказали влияние на ключевой центр роста мирового газопотребления – Китай. По итогам 2025 года потребление газа в стране незначительно выросло. Однако существенно изменилась структура поставок природного газа.</w:t>
      </w:r>
      <w:bookmarkEnd w:id="29"/>
    </w:p>
    <w:p w:rsidR="00A02ECF" w:rsidRDefault="006104A2">
      <w:pPr>
        <w:spacing w:before="120"/>
        <w:jc w:val="both"/>
        <w:rPr>
          <w:b/>
          <w:i/>
        </w:rPr>
      </w:pPr>
      <w:r>
        <w:rPr>
          <w:b/>
          <w:i/>
        </w:rPr>
        <w:t xml:space="preserve">В 2025 году ПАО «Газпром» стало абсолютным лидером по поставкам газа в КНР. Поставки российского трубопроводного газа в Китай составили 38,84 млрд куб. м. 30 мая 2025 года общий объем поставок трубопроводного газа ПАО «Газпром» в Китай (нарастающим итогом с декабря 2019 года) превысил 100 млрд куб. м. В течение 2025 года «Газпром» неоднократно обновлял рекорды суточных поставок по газопроводу «Сила Сибири». </w:t>
      </w:r>
    </w:p>
    <w:p w:rsidR="00A02ECF" w:rsidRDefault="006104A2">
      <w:pPr>
        <w:spacing w:before="120"/>
        <w:jc w:val="both"/>
        <w:rPr>
          <w:b/>
          <w:i/>
        </w:rPr>
      </w:pPr>
      <w:r>
        <w:rPr>
          <w:b/>
          <w:i/>
        </w:rPr>
        <w:t>По итогам 2025 года прирост трубопроводных поставок Газпрома составил 7,7 млрд куб. м (+24,8 %). При этом продолжающийся рост внутренней добычи газа в стране и увеличение поставок газа по «Силе Сибири» приводили к активному снижению импорта СПГ. Эскалация торгового конфликта между КНР и США способствовала резкому сокращению импорта американского СПГ. В феврале – декабре 2025 года в Китай не поставлено ни одной партии СПГ из США.</w:t>
      </w:r>
    </w:p>
    <w:p w:rsidR="00A02ECF" w:rsidRDefault="006104A2">
      <w:pPr>
        <w:spacing w:before="120"/>
        <w:jc w:val="both"/>
        <w:rPr>
          <w:b/>
          <w:bCs/>
          <w:i/>
        </w:rPr>
      </w:pPr>
      <w:r>
        <w:rPr>
          <w:b/>
          <w:i/>
        </w:rPr>
        <w:t xml:space="preserve">В 2025 году продолжилась работа по реализации проекта поставки газа из России в Китай по «дальневосточному» маршруту. Договор купли-продажи газа по «дальневосточному» маршруту был подписан в феврале 2022 года. </w:t>
      </w:r>
    </w:p>
    <w:p w:rsidR="00A02ECF" w:rsidRDefault="006104A2">
      <w:pPr>
        <w:spacing w:before="120"/>
        <w:jc w:val="both"/>
        <w:rPr>
          <w:b/>
          <w:i/>
          <w:strike/>
          <w:color w:val="FF0000"/>
        </w:rPr>
      </w:pPr>
      <w:r>
        <w:rPr>
          <w:b/>
          <w:i/>
        </w:rPr>
        <w:t>Также в страны АТР осуществляются стабильные поставки СПГ с завода «Сахалин-2».</w:t>
      </w:r>
    </w:p>
    <w:p w:rsidR="00A02ECF" w:rsidRDefault="006104A2">
      <w:pPr>
        <w:spacing w:before="120"/>
        <w:jc w:val="both"/>
        <w:rPr>
          <w:b/>
          <w:i/>
        </w:rPr>
      </w:pPr>
      <w:r>
        <w:rPr>
          <w:b/>
          <w:i/>
        </w:rPr>
        <w:t>Ожидается, что регион и далее сохранит свою роль крупнейшего мирового энергетического центра.</w:t>
      </w:r>
      <w:bookmarkEnd w:id="26"/>
    </w:p>
    <w:p w:rsidR="00A02ECF" w:rsidRDefault="00A02ECF">
      <w:pPr>
        <w:spacing w:before="120"/>
        <w:jc w:val="both"/>
        <w:rPr>
          <w:b/>
          <w:i/>
          <w:iCs/>
          <w:u w:val="single"/>
        </w:rPr>
      </w:pPr>
    </w:p>
    <w:p w:rsidR="00A02ECF" w:rsidRDefault="006104A2">
      <w:pPr>
        <w:spacing w:before="120"/>
        <w:jc w:val="both"/>
        <w:rPr>
          <w:b/>
          <w:i/>
          <w:iCs/>
          <w:u w:val="single"/>
        </w:rPr>
      </w:pPr>
      <w:r>
        <w:rPr>
          <w:b/>
          <w:i/>
          <w:iCs/>
          <w:u w:val="single"/>
        </w:rPr>
        <w:t>Регион Центральной Азии</w:t>
      </w:r>
    </w:p>
    <w:p w:rsidR="00A02ECF" w:rsidRDefault="006104A2">
      <w:pPr>
        <w:spacing w:before="120"/>
        <w:jc w:val="both"/>
        <w:rPr>
          <w:b/>
          <w:bCs/>
          <w:i/>
          <w:iCs/>
        </w:rPr>
      </w:pPr>
      <w:r>
        <w:rPr>
          <w:b/>
          <w:bCs/>
          <w:i/>
          <w:iCs/>
        </w:rPr>
        <w:t xml:space="preserve">Основным направлением работы ПАО «Газпром» в регионе остается укрепление сотрудничества с Казахстаном, Узбекистаном и Кыргызстаном. </w:t>
      </w:r>
    </w:p>
    <w:p w:rsidR="00A02ECF" w:rsidRDefault="006104A2">
      <w:pPr>
        <w:spacing w:before="120"/>
        <w:jc w:val="both"/>
        <w:rPr>
          <w:b/>
          <w:bCs/>
          <w:i/>
          <w:iCs/>
        </w:rPr>
      </w:pPr>
      <w:r>
        <w:rPr>
          <w:b/>
          <w:bCs/>
          <w:i/>
          <w:iCs/>
        </w:rPr>
        <w:t>В октябре 2025 года «Газпром» и Правительство Казахстана подписали меморандум о реализации проекта строительства нового магистрального газопровода из России в Казахстан.</w:t>
      </w:r>
    </w:p>
    <w:p w:rsidR="00A02ECF" w:rsidRDefault="00A02ECF">
      <w:pPr>
        <w:spacing w:before="0" w:after="0"/>
        <w:jc w:val="both"/>
        <w:rPr>
          <w:b/>
          <w:bCs/>
          <w:i/>
          <w:iCs/>
        </w:rPr>
      </w:pPr>
    </w:p>
    <w:p w:rsidR="00A02ECF" w:rsidRDefault="00A02ECF">
      <w:pPr>
        <w:spacing w:before="0" w:after="0"/>
        <w:jc w:val="both"/>
        <w:rPr>
          <w:b/>
          <w:bCs/>
          <w:i/>
          <w:iCs/>
        </w:rPr>
      </w:pPr>
    </w:p>
    <w:p w:rsidR="00A02ECF" w:rsidRDefault="006104A2">
      <w:pPr>
        <w:pStyle w:val="aff4"/>
        <w:spacing w:after="0"/>
        <w:ind w:left="0"/>
        <w:rPr>
          <w:b/>
          <w:i/>
          <w:szCs w:val="20"/>
          <w:u w:val="single"/>
          <w:lang w:val="ru-RU"/>
        </w:rPr>
      </w:pPr>
      <w:r>
        <w:rPr>
          <w:b/>
          <w:i/>
          <w:szCs w:val="20"/>
          <w:u w:val="single"/>
          <w:lang w:val="ru-RU"/>
        </w:rPr>
        <w:t>Регион Закавказья</w:t>
      </w:r>
    </w:p>
    <w:p w:rsidR="00A02ECF" w:rsidRDefault="006104A2">
      <w:pPr>
        <w:spacing w:after="0"/>
        <w:jc w:val="both"/>
        <w:rPr>
          <w:b/>
          <w:bCs/>
          <w:i/>
          <w:iCs/>
        </w:rPr>
      </w:pPr>
      <w:r>
        <w:rPr>
          <w:b/>
          <w:i/>
        </w:rPr>
        <w:t xml:space="preserve">Продолжается работа с грузинской стороной в рамках развития сотрудничества и увеличения поставок природного газа. </w:t>
      </w:r>
      <w:r>
        <w:rPr>
          <w:b/>
          <w:bCs/>
          <w:i/>
          <w:iCs/>
        </w:rPr>
        <w:t>В результате проводимой работы в 2025 году поставки газа в Грузию выросли в сравнении с 2024 годом.</w:t>
      </w:r>
    </w:p>
    <w:p w:rsidR="00A02ECF" w:rsidRDefault="006104A2">
      <w:pPr>
        <w:pStyle w:val="aff4"/>
        <w:spacing w:after="0"/>
        <w:ind w:left="0"/>
        <w:rPr>
          <w:b/>
          <w:i/>
          <w:lang w:val="ru-RU"/>
        </w:rPr>
      </w:pPr>
      <w:r>
        <w:rPr>
          <w:b/>
          <w:i/>
          <w:lang w:val="ru-RU"/>
        </w:rPr>
        <w:t>Подписано Соглашение с национальными компаниями Грузии о проведении в 2026-2027 гг. ремонтных работ на объектах ГТС Грузии, задействованных в транзите</w:t>
      </w:r>
      <w:r>
        <w:rPr>
          <w:b/>
          <w:bCs/>
          <w:i/>
          <w:iCs/>
          <w:lang w:val="ru-RU"/>
        </w:rPr>
        <w:t xml:space="preserve"> российского газа в </w:t>
      </w:r>
      <w:r>
        <w:rPr>
          <w:b/>
          <w:i/>
          <w:lang w:val="ru-RU"/>
        </w:rPr>
        <w:t>Армению.</w:t>
      </w:r>
    </w:p>
    <w:p w:rsidR="00A02ECF" w:rsidRDefault="00A02ECF">
      <w:pPr>
        <w:pStyle w:val="aff4"/>
        <w:spacing w:after="0"/>
        <w:ind w:left="0"/>
        <w:rPr>
          <w:b/>
          <w:i/>
          <w:u w:val="single"/>
          <w:lang w:val="ru-RU"/>
        </w:rPr>
      </w:pPr>
    </w:p>
    <w:p w:rsidR="00A02ECF" w:rsidRDefault="006104A2">
      <w:pPr>
        <w:spacing w:before="120" w:after="0"/>
        <w:jc w:val="both"/>
        <w:rPr>
          <w:b/>
          <w:i/>
          <w:iCs/>
          <w:u w:val="single"/>
        </w:rPr>
      </w:pPr>
      <w:r>
        <w:rPr>
          <w:b/>
          <w:i/>
          <w:iCs/>
          <w:u w:val="single"/>
        </w:rPr>
        <w:t>Европейский рынок</w:t>
      </w:r>
    </w:p>
    <w:p w:rsidR="00A02ECF" w:rsidRDefault="006104A2">
      <w:pPr>
        <w:spacing w:before="120"/>
        <w:jc w:val="both"/>
        <w:rPr>
          <w:b/>
          <w:bCs/>
          <w:i/>
          <w:iCs/>
        </w:rPr>
      </w:pPr>
      <w:r>
        <w:rPr>
          <w:b/>
          <w:bCs/>
          <w:i/>
          <w:iCs/>
        </w:rPr>
        <w:t xml:space="preserve">Потребление газа в европейских странах Дальнего зарубежья выросло на 13,5 млрд куб. м (+2,8%) по сравнению с 2024 годом, что преимущественно связано с изменением погодных условий. Более 40% прироста потребления газа в регионе было обеспечено Турцией, являющейся одним из крупных покупателем газа ПАО «Газпром». </w:t>
      </w:r>
    </w:p>
    <w:p w:rsidR="00A02ECF" w:rsidRDefault="006104A2">
      <w:pPr>
        <w:spacing w:before="120"/>
        <w:jc w:val="both"/>
        <w:rPr>
          <w:b/>
          <w:bCs/>
          <w:i/>
          <w:iCs/>
        </w:rPr>
      </w:pPr>
      <w:r>
        <w:rPr>
          <w:b/>
          <w:bCs/>
          <w:i/>
          <w:iCs/>
        </w:rPr>
        <w:t>При этом в газоемких секторах промышленности стран ЕС продолжилось снижение объемов потребления, прежде всего из-за политически мотивированного отказа от российского газа. Сокращение потребления к уровню 2021 года превышает 15%. Собственная добыча европейских стран в 2025 году вернулась к тренду на снижение, и сокращение составило почти 2%.</w:t>
      </w:r>
    </w:p>
    <w:p w:rsidR="00A02ECF" w:rsidRDefault="006104A2">
      <w:pPr>
        <w:spacing w:before="120"/>
        <w:jc w:val="both"/>
        <w:rPr>
          <w:b/>
          <w:bCs/>
          <w:i/>
          <w:iCs/>
        </w:rPr>
      </w:pPr>
      <w:r>
        <w:rPr>
          <w:b/>
          <w:bCs/>
          <w:i/>
          <w:iCs/>
        </w:rPr>
        <w:t>Поставки российского трубопроводного газа в страны Европы существенно сократились в условиях прекращения транзита российского газа через территорию Украины с 1 января 2025 г. При этом в 2025 году увеличились объемы реализации в страны дальнего зарубежья по второй нитке газопровода «Турецкий поток» за счет достижения новых договоренностей с покупателями, а также проведения мероприятий по оптимизации поставок на суточной основе.</w:t>
      </w:r>
    </w:p>
    <w:p w:rsidR="00A02ECF" w:rsidRDefault="006104A2">
      <w:pPr>
        <w:spacing w:before="120"/>
        <w:jc w:val="both"/>
        <w:rPr>
          <w:b/>
          <w:bCs/>
          <w:i/>
          <w:iCs/>
        </w:rPr>
      </w:pPr>
      <w:r>
        <w:rPr>
          <w:b/>
          <w:bCs/>
          <w:i/>
          <w:iCs/>
        </w:rPr>
        <w:t xml:space="preserve">В условиях отказа от трубопроводных поставок газа из России импорт СПГ в Европу достиг исторического максимума. </w:t>
      </w:r>
    </w:p>
    <w:p w:rsidR="00A02ECF" w:rsidRDefault="006104A2">
      <w:pPr>
        <w:spacing w:before="120"/>
        <w:jc w:val="both"/>
        <w:rPr>
          <w:b/>
          <w:bCs/>
          <w:i/>
          <w:iCs/>
        </w:rPr>
      </w:pPr>
      <w:r>
        <w:rPr>
          <w:b/>
          <w:bCs/>
          <w:i/>
          <w:iCs/>
        </w:rPr>
        <w:t xml:space="preserve">Группа Газпром проводит непрерывный мониторинг и оценку влияния происходящих на мировом газовом рынке изменений на текущую и будущую деятельность Группы. </w:t>
      </w:r>
    </w:p>
    <w:p w:rsidR="00A02ECF" w:rsidRDefault="006104A2">
      <w:pPr>
        <w:spacing w:before="240" w:after="120"/>
        <w:jc w:val="both"/>
        <w:rPr>
          <w:b/>
          <w:i/>
        </w:rPr>
      </w:pPr>
      <w:r>
        <w:t>Факторы и условия, влияющие на мировой нефтегазовый рынок.</w:t>
      </w:r>
    </w:p>
    <w:p w:rsidR="00A02ECF" w:rsidRDefault="006104A2">
      <w:pPr>
        <w:pStyle w:val="afe"/>
        <w:spacing w:before="0" w:after="0"/>
        <w:jc w:val="both"/>
        <w:rPr>
          <w:rFonts w:ascii="Calibri" w:eastAsia="Calibri" w:hAnsi="Calibri"/>
          <w:b/>
          <w:bCs/>
          <w:i/>
          <w:iCs/>
          <w:u w:val="single"/>
          <w:vertAlign w:val="superscript"/>
        </w:rPr>
      </w:pPr>
      <w:bookmarkStart w:id="30" w:name="_Hlk185336826"/>
      <w:r>
        <w:rPr>
          <w:rFonts w:eastAsia="Calibri"/>
          <w:b/>
          <w:bCs/>
          <w:i/>
          <w:iCs/>
          <w:u w:val="single"/>
        </w:rPr>
        <w:t xml:space="preserve">Мировые энергетические рынки и неопределенность уровня спроса на природный газ </w:t>
      </w:r>
      <w:r>
        <w:rPr>
          <w:rFonts w:ascii="Times New Roman Bold Italic" w:eastAsia="Calibri" w:hAnsi="Times New Roman Bold Italic"/>
          <w:b/>
          <w:bCs/>
          <w:i/>
          <w:iCs/>
          <w:vertAlign w:val="superscript"/>
        </w:rPr>
        <w:t>(</w:t>
      </w:r>
      <w:r>
        <w:rPr>
          <w:rStyle w:val="af6"/>
          <w:rFonts w:ascii="Times New Roman Bold Italic" w:eastAsia="Calibri" w:hAnsi="Times New Roman Bold Italic"/>
          <w:b/>
          <w:bCs/>
        </w:rPr>
        <w:footnoteReference w:id="1"/>
      </w:r>
      <w:r>
        <w:rPr>
          <w:rFonts w:ascii="Times New Roman Bold Italic" w:eastAsia="Calibri" w:hAnsi="Times New Roman Bold Italic"/>
          <w:b/>
          <w:bCs/>
          <w:i/>
          <w:iCs/>
          <w:vertAlign w:val="superscript"/>
        </w:rPr>
        <w:t xml:space="preserve">) </w:t>
      </w:r>
      <w:r>
        <w:rPr>
          <w:rFonts w:ascii="Calibri" w:eastAsia="Calibri" w:hAnsi="Calibri"/>
          <w:b/>
          <w:bCs/>
          <w:i/>
          <w:iCs/>
          <w:vertAlign w:val="superscript"/>
        </w:rPr>
        <w:t xml:space="preserve"> </w:t>
      </w:r>
      <w:bookmarkEnd w:id="27"/>
      <w:bookmarkEnd w:id="30"/>
    </w:p>
    <w:p w:rsidR="00A02ECF" w:rsidRDefault="006104A2">
      <w:pPr>
        <w:spacing w:before="120"/>
        <w:jc w:val="both"/>
        <w:rPr>
          <w:b/>
          <w:i/>
        </w:rPr>
      </w:pPr>
      <w:r>
        <w:rPr>
          <w:b/>
          <w:i/>
        </w:rPr>
        <w:t xml:space="preserve">Главным итогом 2025 года в мировой энергетике стало дальнейшее обострение рисков геополитического характера. К значимым событиям 2025 года можно отнести снижение интереса к проектам в области возобновляемой энергии (ВИЭ) и пересмотр приоритетов развития в пользу углеводородов в ряде стран и международных энергетических компаний. </w:t>
      </w:r>
    </w:p>
    <w:p w:rsidR="00A02ECF" w:rsidRDefault="006104A2">
      <w:pPr>
        <w:spacing w:before="120"/>
        <w:jc w:val="both"/>
        <w:rPr>
          <w:rFonts w:eastAsia="Calibri"/>
          <w:b/>
          <w:i/>
        </w:rPr>
      </w:pPr>
      <w:r>
        <w:rPr>
          <w:b/>
          <w:i/>
        </w:rPr>
        <w:t xml:space="preserve">По предварительным оценкам, рост потребления природного газа в мире составил 30 млрд куб. м (+0,7%) по сравнению с 2024 годом. Рост наблюдался, несмотря на усиление влияния политических факторов в энергетике и неблагоприятные для увеличения потребления погодные условия во многих странах. В отличие от предыдущих лет, основной прирост потребления обеспечили Северная Америка и Европа. </w:t>
      </w:r>
    </w:p>
    <w:p w:rsidR="00A02ECF" w:rsidRDefault="006104A2">
      <w:pPr>
        <w:spacing w:before="120"/>
        <w:jc w:val="both"/>
        <w:rPr>
          <w:b/>
          <w:i/>
        </w:rPr>
      </w:pPr>
      <w:r>
        <w:rPr>
          <w:b/>
          <w:i/>
        </w:rPr>
        <w:t xml:space="preserve">Ключевыми тенденциями, оказывающими влияние на прогнозы долгосрочного развития энергетических рынков, становятся геополитическая напряженность, а также внимание к вопросам энергетической безопасности как на уровне государств, так и крупных энергетических компаний. </w:t>
      </w:r>
    </w:p>
    <w:p w:rsidR="00A02ECF" w:rsidRDefault="006104A2">
      <w:pPr>
        <w:spacing w:before="120"/>
        <w:jc w:val="both"/>
        <w:rPr>
          <w:b/>
          <w:i/>
        </w:rPr>
      </w:pPr>
      <w:r>
        <w:rPr>
          <w:b/>
          <w:i/>
        </w:rPr>
        <w:t xml:space="preserve">Для развивающихся рынков природный газ останется наиболее привлекательным энергоресурсом благодаря сочетанию надежности, удобства использования, экономичности и экологических преимуществ. Энергетические системы, базирующиеся на потреблении природного газа в рамках долгосрочных контрактных взаимоотношений, доказывают свою устойчивость в долгосрочной перспективе, что особенно важно в условиях турбулентности на мировых энергетических рынках. Использование природного газа обеспечивает надежность и гибкость энергоснабжения, формируя таким образом фундамент энергетической безопасности стран и регионов мира. </w:t>
      </w:r>
    </w:p>
    <w:p w:rsidR="00A02ECF" w:rsidRDefault="006104A2">
      <w:pPr>
        <w:spacing w:before="120"/>
        <w:jc w:val="both"/>
        <w:rPr>
          <w:b/>
          <w:i/>
        </w:rPr>
      </w:pPr>
      <w:r>
        <w:rPr>
          <w:b/>
          <w:i/>
        </w:rPr>
        <w:t xml:space="preserve">Наиболее заметный рост потребления газа прогнозируется в Китае. Важнейшим фактором роста спроса на газ является значительный потенциал замещения угля, потребление которого в КНР находится на уровне около 5,0 млрд т (эквивалентно 4,0 трлн куб. м газа). При этом доля угля в топливно-энергетическом балансе страны составляет около 60%, в генерации – около 55%. Объемы </w:t>
      </w:r>
      <w:r>
        <w:rPr>
          <w:b/>
          <w:i/>
        </w:rPr>
        <w:lastRenderedPageBreak/>
        <w:t xml:space="preserve">потребления газа в стране будут существенно выше уровня собственной добычи, поэтому увеличение спроса на газ будет сопровождаться ростом объемов его импорта. </w:t>
      </w:r>
    </w:p>
    <w:p w:rsidR="00A02ECF" w:rsidRDefault="006104A2">
      <w:pPr>
        <w:spacing w:before="120"/>
        <w:jc w:val="both"/>
        <w:rPr>
          <w:b/>
          <w:i/>
        </w:rPr>
      </w:pPr>
      <w:r>
        <w:rPr>
          <w:b/>
          <w:i/>
        </w:rPr>
        <w:t>Замещение высокой доли угля в энергобалансах других стран АТР, в т.ч. Вьетнаме, Индии и Индонезии, также будет способствовать росту потребления природного газа.</w:t>
      </w:r>
    </w:p>
    <w:p w:rsidR="00A02ECF" w:rsidRDefault="006104A2">
      <w:pPr>
        <w:spacing w:before="120"/>
        <w:jc w:val="both"/>
        <w:rPr>
          <w:b/>
          <w:i/>
        </w:rPr>
      </w:pPr>
      <w:r>
        <w:rPr>
          <w:b/>
          <w:i/>
        </w:rPr>
        <w:t>Существенное увеличение спроса на газ будет происходить в других странах, дружественно настроенных по отношению к России и проводящих ответственную энергетическую политику. Всё более значимыми игроками на мировом рынке газа становятся страны Глобального Юга, доля которых в мировом газопотреблении к 2050 году составит около 70%.</w:t>
      </w:r>
    </w:p>
    <w:p w:rsidR="00A02ECF" w:rsidRDefault="006104A2">
      <w:pPr>
        <w:spacing w:before="120"/>
        <w:jc w:val="both"/>
        <w:rPr>
          <w:b/>
          <w:bCs/>
          <w:i/>
          <w:iCs/>
        </w:rPr>
      </w:pPr>
      <w:r>
        <w:rPr>
          <w:b/>
          <w:bCs/>
          <w:i/>
          <w:iCs/>
          <w:u w:val="single"/>
        </w:rPr>
        <w:t>Развитие техники и технологий.</w:t>
      </w:r>
      <w:r>
        <w:rPr>
          <w:b/>
          <w:bCs/>
          <w:i/>
          <w:iCs/>
        </w:rPr>
        <w:t xml:space="preserve"> Технологические инновации в нефтегазовой отрасли заметно улучшили технико-экономические показатели разведки и разработки запасов углеводородов. Вырос удельный вес успешных геологических изысканий, увеличилась продолжительность эксплуатации месторождений и степень извлекаемости разведанных запасов при одновременном сокращении издержек полного проектного цикла. Все это было достигнуто благодаря активному и эффективному внедрению новой техники и технологий. В целом новые технологии стали относительно доступны всем участникам рынка. Группа Газпром для достижения своих стратегических и финансовых целей стремится применять собственные новые разработки в практической деятельности.</w:t>
      </w:r>
    </w:p>
    <w:p w:rsidR="00A02ECF" w:rsidRDefault="006104A2">
      <w:pPr>
        <w:spacing w:before="120"/>
        <w:jc w:val="both"/>
        <w:rPr>
          <w:b/>
          <w:bCs/>
          <w:i/>
          <w:iCs/>
        </w:rPr>
      </w:pPr>
      <w:r>
        <w:rPr>
          <w:b/>
          <w:bCs/>
          <w:i/>
          <w:iCs/>
          <w:u w:val="single"/>
        </w:rPr>
        <w:t>Охрана окружающей среды и социальные факторы.</w:t>
      </w:r>
      <w:r>
        <w:rPr>
          <w:b/>
          <w:bCs/>
          <w:i/>
          <w:iCs/>
        </w:rPr>
        <w:t xml:space="preserve"> Нефтяные и газовые компании во всем мире сталкиваются с ужесточением требований к своей деятельности с учетом задач охраны окружающей среды и социальных потребностей общества. Инвесторы, потребители, государственные органы, неправительственные организации все более внимательно следят за экологическими показателями деятельности компаний, соблюдением прав человека, разработкой альтернативных и возобновляемых источников энергии. ПАО</w:t>
      </w:r>
      <w:r>
        <w:rPr>
          <w:b/>
          <w:bCs/>
          <w:i/>
          <w:iCs/>
          <w:lang w:val="en-US"/>
        </w:rPr>
        <w:t> </w:t>
      </w:r>
      <w:r>
        <w:rPr>
          <w:b/>
          <w:bCs/>
          <w:i/>
          <w:iCs/>
        </w:rPr>
        <w:t>«Газпром» соблюдает все нормы, установленные законодательством Российской Федерации и международными правовыми актами в области охраны окружающей среды. Вопросы обеспечения экологической безопасности при осуществлении ключевых проектов Общества относятся к числу приоритетных. Масштабы и география деятельности Группы Газпром также предопределяют особую социальную ответственность компании перед обществом и формируют ряд ключевых принципов ее деятельности: внимательное отношение к интересам государства и его граждан, активное содействие социально-экономическому развитию российских регионов, созданию в них благоприятного делового климата, поддержанию достойных условий жизни, труда, духовного благополучия людей.</w:t>
      </w:r>
    </w:p>
    <w:p w:rsidR="00A02ECF" w:rsidRDefault="006104A2">
      <w:pPr>
        <w:spacing w:before="160" w:after="0"/>
        <w:jc w:val="both"/>
      </w:pPr>
      <w:r>
        <w:t>Сведения об основных конкурентах эмитента (группы эмитента)</w:t>
      </w:r>
      <w:bookmarkEnd w:id="28"/>
      <w:r>
        <w:t>.</w:t>
      </w:r>
    </w:p>
    <w:p w:rsidR="00A02ECF" w:rsidRDefault="006104A2">
      <w:pPr>
        <w:spacing w:before="120" w:after="0"/>
        <w:jc w:val="both"/>
        <w:rPr>
          <w:b/>
          <w:bCs/>
          <w:i/>
          <w:iCs/>
          <w:u w:val="single"/>
        </w:rPr>
      </w:pPr>
      <w:r>
        <w:rPr>
          <w:b/>
          <w:bCs/>
          <w:i/>
          <w:iCs/>
          <w:u w:val="single"/>
        </w:rPr>
        <w:t>Конкуренция на рынке России.</w:t>
      </w:r>
    </w:p>
    <w:p w:rsidR="00A02ECF" w:rsidRDefault="006104A2">
      <w:pPr>
        <w:spacing w:before="120"/>
        <w:jc w:val="both"/>
        <w:rPr>
          <w:b/>
          <w:bCs/>
          <w:i/>
          <w:iCs/>
        </w:rPr>
      </w:pPr>
      <w:r>
        <w:rPr>
          <w:b/>
          <w:bCs/>
          <w:i/>
          <w:iCs/>
        </w:rPr>
        <w:t xml:space="preserve">В соответствии с действующим законодательством Российской Федерации сфера транспортировки газа по трубопроводам, включая магистральные, отнесена к естественно монопольным видам деятельности, подлежащим государственному регулированию. Этот вид услуг предоставляет ПАО «Газпром», являющееся собственником Единой системы газоснабжения. Действующий порядок доступа независимых организаций к газотранспортной системе ПАО «Газпром» установлен постановлением Правительства Российской Федерации от 14 июля 1997 г. № 858 «Об обеспечении доступа независимых организаций к газотранспортной системе Открытого акционерного общества «Газпром» (с изменениями и дополнениями). </w:t>
      </w:r>
    </w:p>
    <w:p w:rsidR="00A02ECF" w:rsidRDefault="006104A2">
      <w:pPr>
        <w:spacing w:before="120"/>
        <w:jc w:val="both"/>
        <w:rPr>
          <w:b/>
          <w:bCs/>
          <w:i/>
          <w:iCs/>
        </w:rPr>
      </w:pPr>
      <w:r>
        <w:rPr>
          <w:b/>
          <w:bCs/>
          <w:i/>
          <w:iCs/>
        </w:rPr>
        <w:t xml:space="preserve">В настоящее время группа компаний ПАО «Газпром» осуществляет значительную часть всей добычи газа в России, транспортировку его по магистральным газопроводам Единой системы газоснабжения и реализацию на внутреннем и внешних рынках. Оптовые (регулируемые) цены на газ, реализуемый ПАО «Газпром» потребителям Российской Федерации, а также тарифы на услуги по транспортировке газа, оказываемые независимым производителям газа, устанавливаются регулирующим государственным органом - Федеральной антимонопольной службой. </w:t>
      </w:r>
    </w:p>
    <w:p w:rsidR="00A02ECF" w:rsidRDefault="006104A2">
      <w:pPr>
        <w:spacing w:before="120" w:after="0"/>
        <w:jc w:val="both"/>
        <w:rPr>
          <w:b/>
          <w:bCs/>
        </w:rPr>
      </w:pPr>
      <w:r>
        <w:rPr>
          <w:b/>
          <w:bCs/>
        </w:rPr>
        <w:t>Доля транспортировки по ГТС газа независимых поставщиков в общем объеме транспортировки газа, %</w:t>
      </w:r>
    </w:p>
    <w:tbl>
      <w:tblPr>
        <w:tblW w:w="0" w:type="auto"/>
        <w:tblInd w:w="108" w:type="dxa"/>
        <w:tblLayout w:type="fixed"/>
        <w:tblLook w:val="04A0" w:firstRow="1" w:lastRow="0" w:firstColumn="1" w:lastColumn="0" w:noHBand="0" w:noVBand="1"/>
      </w:tblPr>
      <w:tblGrid>
        <w:gridCol w:w="2977"/>
        <w:gridCol w:w="2977"/>
        <w:gridCol w:w="2835"/>
      </w:tblGrid>
      <w:tr w:rsidR="00A02ECF">
        <w:trPr>
          <w:tblHeader/>
        </w:trPr>
        <w:tc>
          <w:tcPr>
            <w:tcW w:w="2977" w:type="dxa"/>
            <w:tcBorders>
              <w:top w:val="single" w:sz="4" w:space="0" w:color="000000"/>
              <w:left w:val="single" w:sz="4" w:space="0" w:color="000000"/>
              <w:bottom w:val="single" w:sz="4" w:space="0" w:color="000000"/>
              <w:right w:val="single" w:sz="4" w:space="0" w:color="000000"/>
            </w:tcBorders>
          </w:tcPr>
          <w:p w:rsidR="00A02ECF" w:rsidRDefault="006104A2">
            <w:pPr>
              <w:jc w:val="center"/>
              <w:rPr>
                <w:b/>
              </w:rPr>
            </w:pPr>
            <w:r>
              <w:rPr>
                <w:b/>
              </w:rPr>
              <w:t>2023 год</w:t>
            </w:r>
          </w:p>
        </w:tc>
        <w:tc>
          <w:tcPr>
            <w:tcW w:w="2977" w:type="dxa"/>
            <w:tcBorders>
              <w:top w:val="single" w:sz="4" w:space="0" w:color="000000"/>
              <w:left w:val="single" w:sz="4" w:space="0" w:color="000000"/>
              <w:bottom w:val="single" w:sz="4" w:space="0" w:color="000000"/>
              <w:right w:val="single" w:sz="4" w:space="0" w:color="000000"/>
            </w:tcBorders>
          </w:tcPr>
          <w:p w:rsidR="00A02ECF" w:rsidRDefault="006104A2">
            <w:pPr>
              <w:jc w:val="center"/>
              <w:rPr>
                <w:b/>
              </w:rPr>
            </w:pPr>
            <w:r>
              <w:rPr>
                <w:b/>
              </w:rPr>
              <w:t>2024 год</w:t>
            </w:r>
          </w:p>
        </w:tc>
        <w:tc>
          <w:tcPr>
            <w:tcW w:w="2835" w:type="dxa"/>
            <w:tcBorders>
              <w:top w:val="single" w:sz="4" w:space="0" w:color="000000"/>
              <w:left w:val="single" w:sz="4" w:space="0" w:color="000000"/>
              <w:bottom w:val="single" w:sz="4" w:space="0" w:color="000000"/>
              <w:right w:val="single" w:sz="4" w:space="0" w:color="000000"/>
            </w:tcBorders>
          </w:tcPr>
          <w:p w:rsidR="00A02ECF" w:rsidRDefault="006104A2">
            <w:pPr>
              <w:jc w:val="center"/>
              <w:rPr>
                <w:b/>
              </w:rPr>
            </w:pPr>
            <w:r>
              <w:rPr>
                <w:b/>
              </w:rPr>
              <w:t>2025 год</w:t>
            </w:r>
          </w:p>
        </w:tc>
      </w:tr>
      <w:tr w:rsidR="00A02ECF">
        <w:tc>
          <w:tcPr>
            <w:tcW w:w="2977" w:type="dxa"/>
            <w:tcBorders>
              <w:top w:val="single" w:sz="4" w:space="0" w:color="000000"/>
              <w:left w:val="single" w:sz="4" w:space="0" w:color="000000"/>
              <w:bottom w:val="single" w:sz="4" w:space="0" w:color="000000"/>
              <w:right w:val="single" w:sz="4" w:space="0" w:color="000000"/>
            </w:tcBorders>
          </w:tcPr>
          <w:p w:rsidR="00A02ECF" w:rsidRDefault="006104A2">
            <w:pPr>
              <w:jc w:val="center"/>
            </w:pPr>
            <w:r>
              <w:t>27,0</w:t>
            </w:r>
          </w:p>
        </w:tc>
        <w:tc>
          <w:tcPr>
            <w:tcW w:w="2977" w:type="dxa"/>
            <w:tcBorders>
              <w:top w:val="single" w:sz="4" w:space="0" w:color="000000"/>
              <w:left w:val="single" w:sz="4" w:space="0" w:color="000000"/>
              <w:bottom w:val="single" w:sz="4" w:space="0" w:color="000000"/>
              <w:right w:val="single" w:sz="4" w:space="0" w:color="000000"/>
            </w:tcBorders>
          </w:tcPr>
          <w:p w:rsidR="00A02ECF" w:rsidRDefault="006104A2">
            <w:pPr>
              <w:jc w:val="center"/>
            </w:pPr>
            <w:r>
              <w:t>22,9</w:t>
            </w:r>
          </w:p>
        </w:tc>
        <w:tc>
          <w:tcPr>
            <w:tcW w:w="2835" w:type="dxa"/>
            <w:tcBorders>
              <w:top w:val="single" w:sz="4" w:space="0" w:color="000000"/>
              <w:left w:val="single" w:sz="4" w:space="0" w:color="000000"/>
              <w:bottom w:val="single" w:sz="4" w:space="0" w:color="000000"/>
              <w:right w:val="single" w:sz="4" w:space="0" w:color="000000"/>
            </w:tcBorders>
          </w:tcPr>
          <w:p w:rsidR="00A02ECF" w:rsidRDefault="006104A2">
            <w:pPr>
              <w:jc w:val="center"/>
            </w:pPr>
            <w:r>
              <w:t>22,8</w:t>
            </w:r>
          </w:p>
        </w:tc>
      </w:tr>
    </w:tbl>
    <w:p w:rsidR="00A02ECF" w:rsidRDefault="006104A2">
      <w:pPr>
        <w:spacing w:before="120"/>
        <w:jc w:val="both"/>
        <w:rPr>
          <w:b/>
          <w:bCs/>
          <w:i/>
          <w:iCs/>
        </w:rPr>
      </w:pPr>
      <w:r>
        <w:rPr>
          <w:b/>
          <w:bCs/>
          <w:i/>
          <w:iCs/>
        </w:rPr>
        <w:t xml:space="preserve">ПАО «Газпром» осуществляет деятельность в основном на регулируемом сегменте российского рынка природного газа. На газ, добываемый ПАО «Газпром» и его аффилированными лицами, распространяется действие постановления Правительства Российской Федерации от 29.12.2000 № 1021 «О государственном регулировании цен на газ, тарифов на услуги по его транспортировке, платы за технологическое присоединение газоиспользующего оборудования к газораспределительным сетям на территории Российской Федерации и платы за технологическое присоединение к </w:t>
      </w:r>
      <w:r>
        <w:rPr>
          <w:b/>
          <w:bCs/>
          <w:i/>
          <w:iCs/>
        </w:rPr>
        <w:lastRenderedPageBreak/>
        <w:t xml:space="preserve">магистральным газопроводам строящихся и реконструируемых газопроводов, предназначенных для транспортировки газа от магистральных газопроводов до объектов капитального строительства, и газопроводов, предназначенных для транспортировки газа от месторождений природного газа до магистрального газопровода». </w:t>
      </w:r>
    </w:p>
    <w:p w:rsidR="00A02ECF" w:rsidRDefault="006104A2">
      <w:pPr>
        <w:spacing w:before="120"/>
        <w:jc w:val="both"/>
        <w:rPr>
          <w:b/>
          <w:bCs/>
          <w:i/>
          <w:iCs/>
        </w:rPr>
      </w:pPr>
      <w:r>
        <w:rPr>
          <w:b/>
          <w:bCs/>
          <w:i/>
          <w:iCs/>
        </w:rPr>
        <w:t>Независимым производителям предоставлено право реализовывать газ по нерегулируемым (рыночным) ценам, что позволяет им вести гибкую ценовую политику и предлагать покупателям более выгодные условия по оплате за газ, что приводит к постепенному вытеснению газа Общества из регионов и увеличению доли независимых производителей на российском рынке. Основная часть реализуемого ими газа поставляется платежеспособным промышленным потребителям в субъектах РФ, наиболее близких к местам добычи. Ряд областей снабжается только газом независимых производителей — это Свердловская, Челябинская, Костромская области.  Большую долю в общих поставках газа в регион независимые производители занимают в Липецкой, Новосибирской, Тюменской областях, ХМАО и Пермском крае. Кроме того, в связи с отсутствием с 2015 года индексации тарифов на услуги по транспортировке газа, оказываемые ПАО «Газпром» независимым производителям, и регулярным повышением оптовых цен на газ, независимые производители ежегодно расширяют географию присутствия.</w:t>
      </w:r>
    </w:p>
    <w:p w:rsidR="00A02ECF" w:rsidRDefault="006104A2">
      <w:pPr>
        <w:pStyle w:val="aff4"/>
        <w:spacing w:after="60"/>
        <w:ind w:left="0"/>
        <w:rPr>
          <w:szCs w:val="20"/>
          <w:lang w:val="ru-RU"/>
        </w:rPr>
      </w:pPr>
      <w:r>
        <w:rPr>
          <w:bCs/>
          <w:iCs/>
          <w:szCs w:val="20"/>
          <w:lang w:val="ru-RU"/>
        </w:rPr>
        <w:t>Сопоставление сильных и слабых сторон эмитента (группы эмитента) в сравнении с основными конкурентами.</w:t>
      </w:r>
    </w:p>
    <w:p w:rsidR="00A02ECF" w:rsidRDefault="006104A2">
      <w:pPr>
        <w:pStyle w:val="aff4"/>
        <w:spacing w:before="0" w:after="0"/>
        <w:ind w:left="0"/>
        <w:rPr>
          <w:b/>
          <w:bCs/>
          <w:i/>
          <w:iCs/>
          <w:szCs w:val="20"/>
          <w:lang w:val="ru-RU"/>
        </w:rPr>
      </w:pPr>
      <w:r>
        <w:rPr>
          <w:b/>
          <w:bCs/>
          <w:i/>
          <w:iCs/>
          <w:szCs w:val="20"/>
          <w:lang w:val="ru-RU"/>
        </w:rPr>
        <w:t>В связи со значительно меньшей экономической эффективностью поставок газа для нужд населения независимые производители практически не осуществляют газоснабжение данной категории, тогда как ПАО «Газпром» выполняет возложенные на него социальные обязательства по поставкам газа населению. В целом можно сказать, что клиентский портфель независимых производителей формируется фактически только из крупных, стабильных и платежеспособных потребителей, расположенных в высокодоходных регионах.</w:t>
      </w:r>
    </w:p>
    <w:p w:rsidR="00A02ECF" w:rsidRDefault="00A02ECF">
      <w:pPr>
        <w:pStyle w:val="aff4"/>
        <w:spacing w:before="0" w:after="0"/>
        <w:ind w:left="0"/>
        <w:rPr>
          <w:b/>
          <w:bCs/>
          <w:i/>
          <w:iCs/>
          <w:u w:val="single"/>
          <w:lang w:val="ru-RU"/>
        </w:rPr>
      </w:pPr>
    </w:p>
    <w:p w:rsidR="00A02ECF" w:rsidRDefault="006104A2">
      <w:pPr>
        <w:rPr>
          <w:b/>
          <w:bCs/>
          <w:i/>
          <w:iCs/>
          <w:u w:val="single"/>
        </w:rPr>
      </w:pPr>
      <w:bookmarkStart w:id="31" w:name="_Hlk182822509"/>
      <w:r>
        <w:rPr>
          <w:b/>
          <w:bCs/>
          <w:i/>
          <w:iCs/>
          <w:u w:val="single"/>
        </w:rPr>
        <w:t>Конкуренция на газовых рынках</w:t>
      </w:r>
    </w:p>
    <w:p w:rsidR="00A02ECF" w:rsidRDefault="006104A2">
      <w:pPr>
        <w:spacing w:before="120"/>
        <w:jc w:val="both"/>
        <w:rPr>
          <w:b/>
          <w:i/>
        </w:rPr>
      </w:pPr>
      <w:r>
        <w:rPr>
          <w:b/>
          <w:i/>
        </w:rPr>
        <w:t xml:space="preserve">Положение Группы Газпром на европейском рынке продолжает определяться не рыночной конкурентоспособностью поставок, а фактором искусственного ограничения объемов экспорта российского газа в результате </w:t>
      </w:r>
      <w:r>
        <w:rPr>
          <w:b/>
          <w:bCs/>
          <w:i/>
          <w:iCs/>
        </w:rPr>
        <w:t>разрушения газотранспортной инфраструктуры,</w:t>
      </w:r>
      <w:r>
        <w:rPr>
          <w:b/>
          <w:i/>
        </w:rPr>
        <w:t xml:space="preserve"> действия </w:t>
      </w:r>
      <w:r>
        <w:rPr>
          <w:b/>
          <w:bCs/>
          <w:i/>
          <w:iCs/>
        </w:rPr>
        <w:t>санкционной политики</w:t>
      </w:r>
      <w:r>
        <w:rPr>
          <w:b/>
          <w:i/>
        </w:rPr>
        <w:t xml:space="preserve"> США, ЕС и Великобритании, политических решений ряда европейских покупателей об отказе от закупок российского газа, а также ответных специальных экономических мер, введенных Правительством Российской Федерации. </w:t>
      </w:r>
    </w:p>
    <w:p w:rsidR="00A02ECF" w:rsidRDefault="006104A2">
      <w:pPr>
        <w:spacing w:before="120"/>
        <w:jc w:val="both"/>
        <w:rPr>
          <w:b/>
          <w:bCs/>
          <w:i/>
          <w:iCs/>
        </w:rPr>
      </w:pPr>
      <w:r>
        <w:rPr>
          <w:b/>
          <w:bCs/>
          <w:i/>
          <w:iCs/>
        </w:rPr>
        <w:t>С учетом текущей внешнеэкономической и геополитической ситуации наиболее перспективным для Группы рынком, в том числе с точки зрения темпов роста, является азиатский газовый рынок. По оценкам, основной прирост потребления природного газа в странах Азии придется на Китай, что обусловлено как экономическим ростом и связанным с ним увеличением энергопотребления, так и мерами Правительства Китая по снижению доли угля в энергобалансе и улучшению экологической обстановки в городах, в том числе за счет стимулирования использования природного газа.</w:t>
      </w:r>
    </w:p>
    <w:p w:rsidR="00A02ECF" w:rsidRDefault="006104A2">
      <w:pPr>
        <w:spacing w:before="120"/>
        <w:jc w:val="both"/>
        <w:rPr>
          <w:b/>
          <w:i/>
        </w:rPr>
      </w:pPr>
      <w:r>
        <w:rPr>
          <w:b/>
          <w:i/>
        </w:rPr>
        <w:t xml:space="preserve">Возможности по наращиванию собственной добычи газа в Китае ограничены, поэтому рост спроса приводит к необходимости увеличения импорта газа. Ожидается, что в долгосрочной перспективе такая ситуация сохранится. На сегодняшний день ключевую роль в обеспечении поставок газа в основные центры потребления Китая играет трубопроводный газ из России и Центральной Азии, а также СПГ. </w:t>
      </w:r>
    </w:p>
    <w:p w:rsidR="00A02ECF" w:rsidRDefault="006104A2">
      <w:pPr>
        <w:spacing w:before="120"/>
        <w:jc w:val="both"/>
        <w:rPr>
          <w:b/>
          <w:bCs/>
          <w:i/>
          <w:iCs/>
        </w:rPr>
      </w:pPr>
      <w:r>
        <w:rPr>
          <w:b/>
          <w:bCs/>
          <w:i/>
          <w:iCs/>
        </w:rPr>
        <w:t>Поставки газа по «Силе Сибири» позволили Группе Газпром занять на китайском газовом рынке</w:t>
      </w:r>
      <w:r w:rsidR="00904CA3">
        <w:rPr>
          <w:b/>
          <w:bCs/>
          <w:i/>
          <w:iCs/>
        </w:rPr>
        <w:t xml:space="preserve"> устойчивые позиции</w:t>
      </w:r>
      <w:r>
        <w:rPr>
          <w:b/>
          <w:bCs/>
          <w:i/>
          <w:iCs/>
        </w:rPr>
        <w:t>, которые будут укрепляться с началом ввода в эксплуатацию «дальневосточного» маршрута. Группа Газпром также ведет переговоры с китайской стороной по новым проектам поставок российского трубопроводного газа.</w:t>
      </w:r>
    </w:p>
    <w:p w:rsidR="00A02ECF" w:rsidRDefault="006104A2">
      <w:pPr>
        <w:spacing w:before="120"/>
        <w:jc w:val="both"/>
        <w:rPr>
          <w:b/>
          <w:bCs/>
          <w:i/>
          <w:iCs/>
        </w:rPr>
      </w:pPr>
      <w:r>
        <w:rPr>
          <w:b/>
          <w:bCs/>
          <w:i/>
          <w:iCs/>
        </w:rPr>
        <w:t>В части поставок СПГ основными конкурентами Группы Газпром на азиатском рынке являются Австралия, Катар, США.</w:t>
      </w:r>
    </w:p>
    <w:p w:rsidR="00A02ECF" w:rsidRDefault="006104A2">
      <w:pPr>
        <w:tabs>
          <w:tab w:val="left" w:pos="1276"/>
        </w:tabs>
        <w:spacing w:before="120" w:after="0"/>
        <w:jc w:val="both"/>
        <w:rPr>
          <w:iCs/>
        </w:rPr>
      </w:pPr>
      <w:r>
        <w:rPr>
          <w:iCs/>
        </w:rPr>
        <w:t>Сопоставление сильных и слабых сторон эмитента (группы эмитента) в сравнении с основными конкурентами на европейском и азиатском рынках.</w:t>
      </w:r>
    </w:p>
    <w:p w:rsidR="00A02ECF" w:rsidRDefault="006104A2">
      <w:pPr>
        <w:spacing w:before="120"/>
        <w:jc w:val="both"/>
        <w:rPr>
          <w:b/>
          <w:bCs/>
          <w:i/>
          <w:iCs/>
        </w:rPr>
      </w:pPr>
      <w:r>
        <w:rPr>
          <w:b/>
          <w:bCs/>
          <w:i/>
          <w:iCs/>
        </w:rPr>
        <w:t>Группа Газпром обладает богатой сырьевой базой и объединяет все виды деятельности, необходимые для бесперебойного обеспечения потребителей энергоресурсами.</w:t>
      </w:r>
    </w:p>
    <w:p w:rsidR="00A02ECF" w:rsidRDefault="006104A2">
      <w:pPr>
        <w:spacing w:before="120"/>
        <w:jc w:val="both"/>
        <w:rPr>
          <w:b/>
          <w:bCs/>
          <w:i/>
          <w:iCs/>
        </w:rPr>
      </w:pPr>
      <w:r>
        <w:rPr>
          <w:b/>
          <w:bCs/>
          <w:i/>
          <w:iCs/>
        </w:rPr>
        <w:t>Комплексная вертикально интегрированная модель бизнеса соответствует стратегической цели Газпрома — повышает эффективность деятельности, надежность поставок, позволяет использовать накопленный производственный и научно-технический потенциал.</w:t>
      </w:r>
      <w:bookmarkEnd w:id="31"/>
    </w:p>
    <w:p w:rsidR="00A02ECF" w:rsidRDefault="00A02ECF">
      <w:pPr>
        <w:spacing w:before="120"/>
        <w:jc w:val="both"/>
        <w:rPr>
          <w:b/>
          <w:sz w:val="24"/>
          <w:szCs w:val="24"/>
        </w:rPr>
      </w:pPr>
    </w:p>
    <w:p w:rsidR="00A02ECF" w:rsidRDefault="006104A2">
      <w:pPr>
        <w:jc w:val="both"/>
        <w:rPr>
          <w:b/>
          <w:sz w:val="24"/>
          <w:szCs w:val="24"/>
        </w:rPr>
      </w:pPr>
      <w:bookmarkStart w:id="32" w:name="_Hlk195776246"/>
      <w:r>
        <w:rPr>
          <w:b/>
          <w:sz w:val="24"/>
          <w:szCs w:val="24"/>
        </w:rPr>
        <w:t>Нефтяная отрасль</w:t>
      </w:r>
    </w:p>
    <w:p w:rsidR="00A02ECF" w:rsidRDefault="006104A2">
      <w:pPr>
        <w:spacing w:before="120" w:after="114" w:line="250" w:lineRule="auto"/>
        <w:ind w:left="-6" w:hanging="11"/>
        <w:jc w:val="both"/>
        <w:rPr>
          <w:bCs/>
          <w:color w:val="000000"/>
        </w:rPr>
      </w:pPr>
      <w:bookmarkStart w:id="33" w:name="_Hlk167182108"/>
      <w:bookmarkStart w:id="34" w:name="_Hlk163832164"/>
      <w:bookmarkStart w:id="35" w:name="_Hlk195776293"/>
      <w:bookmarkEnd w:id="32"/>
      <w:r>
        <w:rPr>
          <w:bCs/>
          <w:color w:val="000000"/>
        </w:rPr>
        <w:t xml:space="preserve">Основные тенденции развития отрасли: </w:t>
      </w:r>
      <w:bookmarkEnd w:id="33"/>
    </w:p>
    <w:p w:rsidR="00A02ECF" w:rsidRDefault="006104A2">
      <w:pPr>
        <w:spacing w:before="120" w:after="114" w:line="250" w:lineRule="auto"/>
        <w:ind w:left="-6" w:hanging="11"/>
        <w:jc w:val="both"/>
        <w:rPr>
          <w:color w:val="000000" w:themeColor="text1"/>
        </w:rPr>
      </w:pPr>
      <w:r>
        <w:rPr>
          <w:b/>
          <w:i/>
          <w:color w:val="000000" w:themeColor="text1"/>
          <w:u w:val="single"/>
        </w:rPr>
        <w:t>Добыча нефти</w:t>
      </w:r>
    </w:p>
    <w:p w:rsidR="00A02ECF" w:rsidRDefault="006104A2">
      <w:pPr>
        <w:pStyle w:val="afff0"/>
        <w:jc w:val="both"/>
        <w:rPr>
          <w:b/>
          <w:i/>
          <w:sz w:val="20"/>
          <w:szCs w:val="20"/>
        </w:rPr>
      </w:pPr>
      <w:r>
        <w:rPr>
          <w:b/>
          <w:i/>
          <w:sz w:val="20"/>
          <w:szCs w:val="20"/>
        </w:rPr>
        <w:t xml:space="preserve">Динамика добычи нефти в Российской Федерации обусловлена изменением квот в рамках соглашения ОПЕК+. В 2026 году участники ОПЕК+ намерены продолжить снятие дополнительных добровольных ограничений. В ноябре 2025 года страны-участницы соглашения приняли решение сохранить квоту на добычу нефти декабря 2025 года на первый квартал 2026 года. В рамках данного решения квота Российской Федерации составит 9,574 млн баррелей в сутки. Постепенное восстановление производства продолжится до октября 2026 года, к концу которого квота Российской Федерации </w:t>
      </w:r>
      <w:r>
        <w:rPr>
          <w:b/>
          <w:i/>
          <w:sz w:val="20"/>
          <w:szCs w:val="20"/>
        </w:rPr>
        <w:br/>
        <w:t>на добычу нефти составит 9,949 млн баррелей в сутки.</w:t>
      </w:r>
    </w:p>
    <w:p w:rsidR="00A02ECF" w:rsidRDefault="006104A2">
      <w:pPr>
        <w:spacing w:before="120" w:after="0" w:line="247" w:lineRule="auto"/>
        <w:ind w:left="-11" w:hanging="6"/>
        <w:jc w:val="both"/>
        <w:rPr>
          <w:b/>
          <w:i/>
          <w:color w:val="000000" w:themeColor="text1"/>
          <w:highlight w:val="yellow"/>
        </w:rPr>
      </w:pPr>
      <w:r>
        <w:rPr>
          <w:b/>
          <w:i/>
          <w:color w:val="000000" w:themeColor="text1"/>
        </w:rPr>
        <w:t>По оценке вице-премьера Российской Федерации А. Новака</w:t>
      </w:r>
      <w:r>
        <w:rPr>
          <w:rStyle w:val="af6"/>
          <w:i/>
          <w:color w:val="000000" w:themeColor="text1"/>
        </w:rPr>
        <w:footnoteReference w:id="2"/>
      </w:r>
      <w:r>
        <w:rPr>
          <w:b/>
          <w:i/>
          <w:color w:val="000000" w:themeColor="text1"/>
        </w:rPr>
        <w:t>, добыча нефти в Российской Федерации в 2025 году составила 512 млн т. Добыча нефти за 2024 год составила 516 млн т, за 2023 год – 530,6 млн т.</w:t>
      </w:r>
    </w:p>
    <w:p w:rsidR="00A02ECF" w:rsidRDefault="006104A2">
      <w:pPr>
        <w:spacing w:before="120" w:after="0" w:line="248" w:lineRule="auto"/>
        <w:ind w:left="-7" w:hanging="8"/>
        <w:jc w:val="both"/>
        <w:rPr>
          <w:b/>
          <w:i/>
          <w:color w:val="000000" w:themeColor="text1"/>
        </w:rPr>
      </w:pPr>
      <w:r>
        <w:rPr>
          <w:b/>
          <w:i/>
          <w:color w:val="000000" w:themeColor="text1"/>
        </w:rPr>
        <w:t>В Российской Федерации продолжалась работа по восполнению минерально-сырьевой базы, велась разработка ресурсов углеводородов в Восточной Сибири. Продолжилось совершенствование фискальной системы для повышения эффективности нефтедобычи, в том числе трудноизвлекаемых запасов нефти.</w:t>
      </w:r>
    </w:p>
    <w:p w:rsidR="00A02ECF" w:rsidRDefault="00A02ECF">
      <w:pPr>
        <w:spacing w:before="0" w:after="0" w:line="250" w:lineRule="auto"/>
        <w:ind w:left="-6" w:hanging="11"/>
        <w:jc w:val="both"/>
        <w:rPr>
          <w:b/>
          <w:i/>
          <w:color w:val="000000" w:themeColor="text1"/>
          <w:u w:val="single"/>
        </w:rPr>
      </w:pPr>
    </w:p>
    <w:p w:rsidR="00A02ECF" w:rsidRDefault="006104A2">
      <w:pPr>
        <w:spacing w:after="114" w:line="250" w:lineRule="auto"/>
        <w:ind w:left="-5" w:hanging="10"/>
        <w:jc w:val="both"/>
        <w:rPr>
          <w:color w:val="000000" w:themeColor="text1"/>
        </w:rPr>
      </w:pPr>
      <w:r>
        <w:rPr>
          <w:b/>
          <w:i/>
          <w:color w:val="000000" w:themeColor="text1"/>
          <w:u w:val="single"/>
        </w:rPr>
        <w:t>Переработка нефти</w:t>
      </w:r>
    </w:p>
    <w:p w:rsidR="00A02ECF" w:rsidRDefault="006104A2">
      <w:pPr>
        <w:spacing w:after="110" w:line="248" w:lineRule="auto"/>
        <w:ind w:left="-7" w:hanging="8"/>
        <w:jc w:val="both"/>
        <w:rPr>
          <w:b/>
          <w:i/>
          <w:color w:val="000000" w:themeColor="text1"/>
        </w:rPr>
      </w:pPr>
      <w:r>
        <w:rPr>
          <w:b/>
          <w:i/>
          <w:color w:val="000000" w:themeColor="text1"/>
        </w:rPr>
        <w:t xml:space="preserve">В течение 2025 года регулирующие органы вводили временный запрет на экспорт из Российской Федерации бензина с целью обеспечения потребностей внутреннего рынка и стабилизации цен. </w:t>
      </w:r>
    </w:p>
    <w:p w:rsidR="00A02ECF" w:rsidRDefault="006104A2">
      <w:pPr>
        <w:spacing w:after="110" w:line="248" w:lineRule="auto"/>
        <w:ind w:left="-7" w:hanging="8"/>
        <w:jc w:val="both"/>
        <w:rPr>
          <w:color w:val="000000" w:themeColor="text1"/>
        </w:rPr>
      </w:pPr>
      <w:r>
        <w:rPr>
          <w:b/>
          <w:i/>
          <w:color w:val="000000" w:themeColor="text1"/>
          <w:u w:val="single"/>
        </w:rPr>
        <w:t>Экспорт нефти</w:t>
      </w:r>
    </w:p>
    <w:p w:rsidR="00A02ECF" w:rsidRDefault="006104A2">
      <w:pPr>
        <w:spacing w:after="110" w:line="248" w:lineRule="auto"/>
        <w:ind w:left="-7" w:hanging="8"/>
        <w:jc w:val="both"/>
        <w:rPr>
          <w:color w:val="000000" w:themeColor="text1"/>
          <w:highlight w:val="yellow"/>
        </w:rPr>
      </w:pPr>
      <w:r>
        <w:rPr>
          <w:b/>
          <w:i/>
          <w:color w:val="000000" w:themeColor="text1"/>
        </w:rPr>
        <w:t>По оценке вице-премьера Российской Федерации А. Новака</w:t>
      </w:r>
      <w:r>
        <w:rPr>
          <w:rStyle w:val="af6"/>
          <w:i/>
          <w:color w:val="000000" w:themeColor="text1"/>
        </w:rPr>
        <w:footnoteReference w:id="3"/>
      </w:r>
      <w:r>
        <w:rPr>
          <w:b/>
          <w:i/>
          <w:color w:val="000000" w:themeColor="text1"/>
        </w:rPr>
        <w:t>, экспорт нефти из Российской Федерации в 2025 году составил 238 млн тонн. В 2024 году экспорт нефти составил 240 млн т, за 2023 год - 234,1 млн т.</w:t>
      </w:r>
    </w:p>
    <w:p w:rsidR="00A02ECF" w:rsidRDefault="006104A2">
      <w:pPr>
        <w:spacing w:before="120"/>
        <w:jc w:val="both"/>
        <w:rPr>
          <w:rStyle w:val="Subst"/>
          <w:rFonts w:eastAsia="Calibri"/>
          <w:b w:val="0"/>
          <w:bCs/>
          <w:i w:val="0"/>
          <w:iCs/>
        </w:rPr>
      </w:pPr>
      <w:r>
        <w:rPr>
          <w:b/>
          <w:i/>
        </w:rPr>
        <w:t xml:space="preserve">Основу нефтедобычи и нефтепереработки в Группе Газпром составляет </w:t>
      </w:r>
      <w:r w:rsidR="00530C9B">
        <w:rPr>
          <w:b/>
          <w:i/>
        </w:rPr>
        <w:t xml:space="preserve">Группа </w:t>
      </w:r>
      <w:r>
        <w:rPr>
          <w:rStyle w:val="Subst"/>
          <w:rFonts w:eastAsia="Calibri"/>
          <w:bCs/>
        </w:rPr>
        <w:t xml:space="preserve">«Газпром нефть» – </w:t>
      </w:r>
      <w:r>
        <w:rPr>
          <w:b/>
          <w:bCs/>
          <w:i/>
          <w:iCs/>
        </w:rPr>
        <w:t>вертикально интегрированная нефтяная компания (ВИНК), основными видами деятельности которой являются разведка, разработка, добыча и реализация нефти и газа, а также производство и сбыт нефтепродуктов</w:t>
      </w:r>
      <w:r>
        <w:rPr>
          <w:rStyle w:val="Subst"/>
          <w:rFonts w:eastAsia="Calibri"/>
          <w:bCs/>
        </w:rPr>
        <w:t>.</w:t>
      </w:r>
    </w:p>
    <w:p w:rsidR="00A02ECF" w:rsidRDefault="00530C9B">
      <w:pPr>
        <w:pStyle w:val="Basic"/>
        <w:spacing w:before="120"/>
        <w:ind w:firstLine="0"/>
        <w:rPr>
          <w:b/>
          <w:i/>
          <w:color w:val="000000" w:themeColor="text1"/>
          <w:sz w:val="20"/>
        </w:rPr>
      </w:pPr>
      <w:r>
        <w:rPr>
          <w:b/>
          <w:i/>
          <w:color w:val="000000" w:themeColor="text1"/>
          <w:sz w:val="20"/>
        </w:rPr>
        <w:t xml:space="preserve">Группа </w:t>
      </w:r>
      <w:r w:rsidR="006104A2">
        <w:rPr>
          <w:b/>
          <w:i/>
          <w:color w:val="000000" w:themeColor="text1"/>
          <w:sz w:val="20"/>
        </w:rPr>
        <w:t>«Газпром нефть» сегодня — важный игрок на энергетическом рынке. Компания реализует проекты добычи углеводородов в традиционных регионах добычи Западной Сибири, Ханты-Мансийском и Ямало-Ненецком автономных округах, а также формирует новы</w:t>
      </w:r>
      <w:r w:rsidR="005F1E46">
        <w:rPr>
          <w:b/>
          <w:i/>
          <w:color w:val="000000" w:themeColor="text1"/>
          <w:sz w:val="20"/>
        </w:rPr>
        <w:t>й</w:t>
      </w:r>
      <w:r w:rsidR="006104A2">
        <w:rPr>
          <w:b/>
          <w:i/>
          <w:color w:val="000000" w:themeColor="text1"/>
          <w:sz w:val="20"/>
        </w:rPr>
        <w:t xml:space="preserve"> добычн</w:t>
      </w:r>
      <w:r w:rsidR="005F1E46">
        <w:rPr>
          <w:b/>
          <w:i/>
          <w:color w:val="000000" w:themeColor="text1"/>
          <w:sz w:val="20"/>
        </w:rPr>
        <w:t>ой</w:t>
      </w:r>
      <w:r w:rsidR="006104A2">
        <w:rPr>
          <w:b/>
          <w:i/>
          <w:color w:val="000000" w:themeColor="text1"/>
          <w:sz w:val="20"/>
        </w:rPr>
        <w:t xml:space="preserve"> кластер в Восточной Сибири. Использование современных технологических решений и подходов позволяет рентабельно и в короткие сроки вовлекать трудные запасы в сложных географических и климатических условиях.</w:t>
      </w:r>
    </w:p>
    <w:p w:rsidR="00A02ECF" w:rsidRDefault="006104A2">
      <w:pPr>
        <w:pStyle w:val="Basic"/>
        <w:spacing w:before="120"/>
        <w:ind w:firstLine="0"/>
        <w:rPr>
          <w:b/>
          <w:i/>
          <w:color w:val="000000" w:themeColor="text1"/>
          <w:sz w:val="20"/>
        </w:rPr>
      </w:pPr>
      <w:r>
        <w:rPr>
          <w:b/>
          <w:i/>
          <w:color w:val="000000" w:themeColor="text1"/>
          <w:sz w:val="20"/>
        </w:rPr>
        <w:t>ПАО «Газпром нефть» обладает высокоэффективными производственными мощностями переработки жидких углеводородов, позволяющими перерабатывать более 42 млн тонн нефти в год. Входящий в состав производственных мощностей Омский нефтеперерабатывающий завод является одним из крупнейших НПЗ в мире и одним из самых высокотехнологичных заводов в Российской Федерации.</w:t>
      </w:r>
    </w:p>
    <w:p w:rsidR="00A02ECF" w:rsidRDefault="006104A2">
      <w:pPr>
        <w:spacing w:before="120"/>
        <w:jc w:val="both"/>
        <w:rPr>
          <w:b/>
          <w:i/>
          <w:color w:val="000000" w:themeColor="text1"/>
          <w:szCs w:val="22"/>
        </w:rPr>
      </w:pPr>
      <w:r>
        <w:rPr>
          <w:b/>
          <w:i/>
          <w:color w:val="000000" w:themeColor="text1"/>
          <w:szCs w:val="22"/>
        </w:rPr>
        <w:t>ПАО «Газпром нефть» управляет эффективной, географически диверсифицированной сбытовой сетью, обеспечивающей реализацию нефти, оптовые и розничные продажи нефтепродуктов. ПАО «Газпром нефть</w:t>
      </w:r>
      <w:r w:rsidR="00CD27DD">
        <w:rPr>
          <w:b/>
          <w:i/>
          <w:color w:val="000000" w:themeColor="text1"/>
          <w:szCs w:val="22"/>
        </w:rPr>
        <w:t>»</w:t>
      </w:r>
      <w:r>
        <w:rPr>
          <w:b/>
          <w:i/>
          <w:color w:val="000000" w:themeColor="text1"/>
          <w:szCs w:val="22"/>
        </w:rPr>
        <w:t xml:space="preserve"> является поставщиком широкого ассортимента высококачественной топливной и нетопливной продукции для всех категорий транспорта и отраслей народного хозяйства.</w:t>
      </w:r>
    </w:p>
    <w:p w:rsidR="00A02ECF" w:rsidRDefault="006104A2">
      <w:pPr>
        <w:spacing w:before="120" w:after="5" w:line="250" w:lineRule="auto"/>
        <w:jc w:val="both"/>
        <w:rPr>
          <w:bCs/>
          <w:iCs/>
          <w:color w:val="000000" w:themeColor="text1"/>
        </w:rPr>
      </w:pPr>
      <w:r>
        <w:rPr>
          <w:bCs/>
          <w:iCs/>
          <w:color w:val="000000" w:themeColor="text1"/>
        </w:rPr>
        <w:t xml:space="preserve">Основные факторы, влияющие на результаты деятельности отрасли, включают: </w:t>
      </w:r>
    </w:p>
    <w:p w:rsidR="00A02ECF" w:rsidRDefault="006104A2">
      <w:pPr>
        <w:widowControl/>
        <w:numPr>
          <w:ilvl w:val="0"/>
          <w:numId w:val="29"/>
        </w:numPr>
        <w:spacing w:before="0" w:after="5" w:line="250" w:lineRule="auto"/>
        <w:ind w:right="1"/>
        <w:jc w:val="both"/>
        <w:rPr>
          <w:color w:val="000000" w:themeColor="text1"/>
        </w:rPr>
      </w:pPr>
      <w:r>
        <w:rPr>
          <w:b/>
          <w:i/>
          <w:color w:val="000000" w:themeColor="text1"/>
        </w:rPr>
        <w:t xml:space="preserve">изменение рыночных цен на нефть и нефтепродукты; </w:t>
      </w:r>
    </w:p>
    <w:p w:rsidR="00A02ECF" w:rsidRDefault="006104A2">
      <w:pPr>
        <w:widowControl/>
        <w:numPr>
          <w:ilvl w:val="0"/>
          <w:numId w:val="29"/>
        </w:numPr>
        <w:spacing w:before="0" w:after="5" w:line="250" w:lineRule="auto"/>
        <w:ind w:right="1"/>
        <w:jc w:val="both"/>
        <w:rPr>
          <w:color w:val="000000" w:themeColor="text1"/>
        </w:rPr>
      </w:pPr>
      <w:r>
        <w:rPr>
          <w:b/>
          <w:i/>
          <w:color w:val="000000" w:themeColor="text1"/>
        </w:rPr>
        <w:t>изменение курса российского рубля к доллару США и инфляцию;</w:t>
      </w:r>
    </w:p>
    <w:p w:rsidR="00A02ECF" w:rsidRDefault="006104A2">
      <w:pPr>
        <w:widowControl/>
        <w:numPr>
          <w:ilvl w:val="0"/>
          <w:numId w:val="29"/>
        </w:numPr>
        <w:spacing w:before="0" w:after="5" w:line="250" w:lineRule="auto"/>
        <w:ind w:right="1"/>
        <w:jc w:val="both"/>
        <w:rPr>
          <w:color w:val="000000" w:themeColor="text1"/>
        </w:rPr>
      </w:pPr>
      <w:r>
        <w:rPr>
          <w:b/>
          <w:i/>
          <w:color w:val="000000" w:themeColor="text1"/>
        </w:rPr>
        <w:t>налогообложение.</w:t>
      </w:r>
    </w:p>
    <w:p w:rsidR="00A02ECF" w:rsidRDefault="006104A2">
      <w:pPr>
        <w:spacing w:before="120" w:after="4" w:line="250" w:lineRule="auto"/>
        <w:jc w:val="both"/>
        <w:rPr>
          <w:b/>
          <w:i/>
          <w:color w:val="000000" w:themeColor="text1"/>
          <w:u w:val="single"/>
        </w:rPr>
      </w:pPr>
      <w:r>
        <w:rPr>
          <w:b/>
          <w:i/>
          <w:color w:val="000000" w:themeColor="text1"/>
          <w:u w:val="single"/>
        </w:rPr>
        <w:lastRenderedPageBreak/>
        <w:t>Изменение рыночных цен на нефть и нефтепродукты</w:t>
      </w:r>
    </w:p>
    <w:p w:rsidR="00A02ECF" w:rsidRDefault="006104A2">
      <w:pPr>
        <w:spacing w:before="120" w:after="5" w:line="250" w:lineRule="auto"/>
        <w:ind w:left="-17"/>
        <w:jc w:val="both"/>
        <w:rPr>
          <w:color w:val="000000" w:themeColor="text1"/>
        </w:rPr>
      </w:pPr>
      <w:bookmarkStart w:id="36" w:name="_Hlk227075378"/>
      <w:r>
        <w:rPr>
          <w:b/>
          <w:i/>
          <w:color w:val="000000" w:themeColor="text1"/>
        </w:rPr>
        <w:t>Цены на нефть и нефтепродукты на мировом и российском рынках являются основным фактором, влияющим на результаты деятельности Группы Газпром в области нефтедобычи и нефтепереработки.</w:t>
      </w:r>
      <w:bookmarkEnd w:id="36"/>
    </w:p>
    <w:p w:rsidR="00A02ECF" w:rsidRDefault="006104A2">
      <w:pPr>
        <w:spacing w:before="120" w:after="5" w:line="250" w:lineRule="auto"/>
        <w:ind w:left="-17"/>
        <w:jc w:val="both"/>
        <w:rPr>
          <w:color w:val="000000" w:themeColor="text1"/>
        </w:rPr>
      </w:pPr>
      <w:r>
        <w:rPr>
          <w:b/>
          <w:i/>
          <w:color w:val="000000" w:themeColor="text1"/>
        </w:rPr>
        <w:t>Цены на нефтепродукты на мировом рынке прежде всего определяются уровнем мировых цен на нефть, спросом и предложением нефтепродуктов, и уровнем конкуренции на различных рынках. Динамика цен на международном рынке, в свою очередь, оказывает влияние на цены на внутреннем рынке. Ценовая динамика различна для различных видов нефтепродуктов.</w:t>
      </w:r>
    </w:p>
    <w:p w:rsidR="00A02ECF" w:rsidRDefault="006104A2">
      <w:pPr>
        <w:spacing w:before="120"/>
        <w:jc w:val="both"/>
        <w:rPr>
          <w:b/>
          <w:bCs/>
          <w:i/>
          <w:iCs/>
        </w:rPr>
      </w:pPr>
      <w:r>
        <w:t xml:space="preserve">Сведения об основных конкурентах эмитента (группы эмитента). </w:t>
      </w:r>
      <w:r>
        <w:rPr>
          <w:iCs/>
        </w:rPr>
        <w:t>Сопоставление сильных и слабых сторон эмитента (группы эмитента) в сравнении с основными конкурентами</w:t>
      </w:r>
      <w:r>
        <w:rPr>
          <w:b/>
          <w:bCs/>
          <w:i/>
          <w:iCs/>
        </w:rPr>
        <w:t>.</w:t>
      </w:r>
    </w:p>
    <w:p w:rsidR="00A02ECF" w:rsidRDefault="006104A2">
      <w:pPr>
        <w:spacing w:before="120"/>
        <w:jc w:val="both"/>
        <w:rPr>
          <w:rStyle w:val="Subst"/>
          <w:color w:val="000000" w:themeColor="text1"/>
        </w:rPr>
      </w:pPr>
      <w:r>
        <w:rPr>
          <w:rStyle w:val="Subst"/>
          <w:color w:val="000000" w:themeColor="text1"/>
        </w:rPr>
        <w:t xml:space="preserve">Поставка нефтепродуктов на внутренний рынок привязана к регионам расположения НПЗ, а также концентрируется в регионах сбытовой деятельности, где Группа Газпром располагает собственной инфраструктурой нефтепродуктообеспечения (нефтебазы, АЗС) с учетом емкости рынка и уровня спроса. Все это позволяет максимально реализовать конкурентные преимущества по сравнению с другими участниками рынка. </w:t>
      </w:r>
    </w:p>
    <w:p w:rsidR="00A02ECF" w:rsidRDefault="006104A2">
      <w:pPr>
        <w:spacing w:before="120"/>
        <w:jc w:val="both"/>
        <w:rPr>
          <w:rStyle w:val="Subst"/>
          <w:color w:val="000000" w:themeColor="text1"/>
        </w:rPr>
      </w:pPr>
      <w:r>
        <w:rPr>
          <w:rStyle w:val="Subst"/>
          <w:color w:val="000000" w:themeColor="text1"/>
        </w:rPr>
        <w:t>Основными конкурентами Группы Газпром на внутреннем рынке являются крупнейшие российские вертикально-интегрированные нефтяные компании. Конкурентоспособность Группы Газпром обеспечивают модернизированные НПЗ с высокоэффективными технологическими процессами и широкая сбытовая сеть, обеспечивающая устойчивый рост премиальных продаж.</w:t>
      </w:r>
    </w:p>
    <w:p w:rsidR="00A02ECF" w:rsidRDefault="00A02ECF">
      <w:pPr>
        <w:spacing w:before="120"/>
        <w:jc w:val="both"/>
        <w:rPr>
          <w:b/>
          <w:bCs/>
          <w:i/>
          <w:iCs/>
        </w:rPr>
      </w:pPr>
    </w:p>
    <w:p w:rsidR="00A02ECF" w:rsidRDefault="00A02ECF">
      <w:pPr>
        <w:jc w:val="both"/>
        <w:rPr>
          <w:b/>
          <w:sz w:val="24"/>
          <w:szCs w:val="24"/>
        </w:rPr>
      </w:pPr>
    </w:p>
    <w:p w:rsidR="00A02ECF" w:rsidRDefault="006104A2">
      <w:pPr>
        <w:jc w:val="both"/>
        <w:rPr>
          <w:b/>
          <w:sz w:val="24"/>
          <w:szCs w:val="24"/>
        </w:rPr>
      </w:pPr>
      <w:r>
        <w:rPr>
          <w:b/>
          <w:sz w:val="24"/>
          <w:szCs w:val="24"/>
        </w:rPr>
        <w:t>Электроэнергетика</w:t>
      </w:r>
      <w:r>
        <w:t xml:space="preserve"> </w:t>
      </w:r>
      <w:r>
        <w:rPr>
          <w:b/>
          <w:sz w:val="24"/>
          <w:szCs w:val="24"/>
        </w:rPr>
        <w:t xml:space="preserve">и теплоснабжение </w:t>
      </w:r>
      <w:bookmarkEnd w:id="34"/>
    </w:p>
    <w:p w:rsidR="00A02ECF" w:rsidRDefault="006104A2">
      <w:pPr>
        <w:spacing w:before="120"/>
        <w:jc w:val="both"/>
        <w:rPr>
          <w:b/>
          <w:bCs/>
          <w:i/>
          <w:iCs/>
          <w:highlight w:val="white"/>
        </w:rPr>
      </w:pPr>
      <w:bookmarkStart w:id="37" w:name="_Hlk166513889"/>
      <w:bookmarkStart w:id="38" w:name="_Hlk193445736"/>
      <w:bookmarkStart w:id="39" w:name="_Hlk195776322"/>
      <w:bookmarkEnd w:id="35"/>
      <w:r>
        <w:rPr>
          <w:b/>
          <w:bCs/>
          <w:i/>
          <w:iCs/>
          <w:highlight w:val="white"/>
        </w:rPr>
        <w:t xml:space="preserve">Единая энергетическая система России </w:t>
      </w:r>
      <w:hyperlink r:id="rId9" w:anchor="c1373" w:tooltip="file:///C:\Users\BERKSERV\AppData\Local\Microsoft\Windows\INetCache\Content.Outlook\SSSEP5EU\functioning\glossary\#c1373" w:history="1">
        <w:r>
          <w:rPr>
            <w:b/>
            <w:bCs/>
            <w:i/>
            <w:iCs/>
            <w:highlight w:val="white"/>
          </w:rPr>
          <w:t>(ЕЭС России)</w:t>
        </w:r>
      </w:hyperlink>
      <w:r>
        <w:rPr>
          <w:b/>
          <w:bCs/>
          <w:i/>
          <w:iCs/>
          <w:highlight w:val="white"/>
        </w:rPr>
        <w:t xml:space="preserve"> состоит из 75 региональных энергосистем, которые, в свою очередь, образуют 7 объединенных энергетических систем: </w:t>
      </w:r>
      <w:hyperlink r:id="rId10" w:tooltip="file:///C:\Users\BERKSERV\AppData\Local\Microsoft\Windows\INetCache\Content.Outlook\SSSEP5EU\functioning\ees\oes-east\" w:history="1">
        <w:r>
          <w:rPr>
            <w:b/>
            <w:bCs/>
            <w:i/>
            <w:iCs/>
            <w:highlight w:val="white"/>
          </w:rPr>
          <w:t>Востока</w:t>
        </w:r>
      </w:hyperlink>
      <w:r>
        <w:rPr>
          <w:b/>
          <w:bCs/>
          <w:i/>
          <w:iCs/>
          <w:highlight w:val="white"/>
        </w:rPr>
        <w:t xml:space="preserve">, </w:t>
      </w:r>
      <w:hyperlink r:id="rId11" w:tooltip="file:///C:\Users\BERKSERV\AppData\Local\Microsoft\Windows\INetCache\Content.Outlook\SSSEP5EU\functioning\ees\oes-siberia\" w:history="1">
        <w:r>
          <w:rPr>
            <w:b/>
            <w:bCs/>
            <w:i/>
            <w:iCs/>
            <w:highlight w:val="white"/>
          </w:rPr>
          <w:t>Сибири</w:t>
        </w:r>
      </w:hyperlink>
      <w:r>
        <w:rPr>
          <w:b/>
          <w:bCs/>
          <w:i/>
          <w:iCs/>
          <w:highlight w:val="white"/>
        </w:rPr>
        <w:t xml:space="preserve">, </w:t>
      </w:r>
      <w:hyperlink r:id="rId12" w:tooltip="file:///C:\Users\BERKSERV\AppData\Local\Microsoft\Windows\INetCache\Content.Outlook\SSSEP5EU\functioning\ees\oes-ural\" w:history="1">
        <w:r>
          <w:rPr>
            <w:b/>
            <w:bCs/>
            <w:i/>
            <w:iCs/>
            <w:highlight w:val="white"/>
          </w:rPr>
          <w:t>Урала</w:t>
        </w:r>
      </w:hyperlink>
      <w:r>
        <w:rPr>
          <w:b/>
          <w:bCs/>
          <w:i/>
          <w:iCs/>
          <w:highlight w:val="white"/>
        </w:rPr>
        <w:t xml:space="preserve">, </w:t>
      </w:r>
      <w:hyperlink r:id="rId13" w:tooltip="file:///C:\Users\BERKSERV\AppData\Local\Microsoft\Windows\INetCache\Content.Outlook\SSSEP5EU\functioning\ees\oes-volga\" w:history="1">
        <w:r>
          <w:rPr>
            <w:b/>
            <w:bCs/>
            <w:i/>
            <w:iCs/>
            <w:highlight w:val="white"/>
          </w:rPr>
          <w:t>Средней Волги</w:t>
        </w:r>
      </w:hyperlink>
      <w:r>
        <w:rPr>
          <w:b/>
          <w:bCs/>
          <w:i/>
          <w:iCs/>
          <w:highlight w:val="white"/>
        </w:rPr>
        <w:t xml:space="preserve">, </w:t>
      </w:r>
      <w:hyperlink r:id="rId14" w:tooltip="file:///C:\Users\BERKSERV\AppData\Local\Microsoft\Windows\INetCache\Content.Outlook\SSSEP5EU\functioning\ees\oes-south\" w:history="1">
        <w:r>
          <w:rPr>
            <w:b/>
            <w:bCs/>
            <w:i/>
            <w:iCs/>
            <w:highlight w:val="white"/>
          </w:rPr>
          <w:t>Юга</w:t>
        </w:r>
      </w:hyperlink>
      <w:r>
        <w:rPr>
          <w:b/>
          <w:bCs/>
          <w:i/>
          <w:iCs/>
          <w:highlight w:val="white"/>
        </w:rPr>
        <w:t xml:space="preserve">, </w:t>
      </w:r>
      <w:hyperlink r:id="rId15" w:tooltip="file:///C:\Users\BERKSERV\AppData\Local\Microsoft\Windows\INetCache\Content.Outlook\SSSEP5EU\functioning\ees\oes-center\" w:history="1">
        <w:r>
          <w:rPr>
            <w:b/>
            <w:bCs/>
            <w:i/>
            <w:iCs/>
            <w:highlight w:val="white"/>
          </w:rPr>
          <w:t>Центра</w:t>
        </w:r>
      </w:hyperlink>
      <w:r>
        <w:rPr>
          <w:b/>
          <w:bCs/>
          <w:i/>
          <w:iCs/>
          <w:highlight w:val="white"/>
        </w:rPr>
        <w:t xml:space="preserve"> и </w:t>
      </w:r>
      <w:hyperlink r:id="rId16" w:tooltip="file:///C:\Users\BERKSERV\AppData\Local\Microsoft\Windows\INetCache\Content.Outlook\SSSEP5EU\functioning\ees\oes-northwest\" w:history="1">
        <w:r>
          <w:rPr>
            <w:b/>
            <w:bCs/>
            <w:i/>
            <w:iCs/>
            <w:highlight w:val="white"/>
          </w:rPr>
          <w:t>Северо-Запада</w:t>
        </w:r>
      </w:hyperlink>
      <w:r>
        <w:rPr>
          <w:b/>
          <w:bCs/>
          <w:i/>
          <w:iCs/>
          <w:highlight w:val="white"/>
        </w:rPr>
        <w:t>. Все энергосистемы соединены межсистемными высоковольтными линиями электропередачи напряжением 220–500 кВ и выше и работают в синхронном режиме (параллельно).</w:t>
      </w:r>
    </w:p>
    <w:p w:rsidR="00A02ECF" w:rsidRDefault="006104A2">
      <w:pPr>
        <w:spacing w:before="120"/>
        <w:jc w:val="both"/>
        <w:rPr>
          <w:b/>
          <w:bCs/>
          <w:i/>
          <w:iCs/>
          <w:highlight w:val="white"/>
        </w:rPr>
      </w:pPr>
      <w:r>
        <w:rPr>
          <w:b/>
          <w:bCs/>
          <w:i/>
          <w:iCs/>
          <w:highlight w:val="white"/>
        </w:rPr>
        <w:t>На 1 января 2026 г. общая установленная мощность электростанций ЕЭС России составила 264,9</w:t>
      </w:r>
      <w:r>
        <w:rPr>
          <w:rFonts w:eastAsia="Calibri"/>
          <w:b/>
          <w:bCs/>
          <w:i/>
          <w:iCs/>
          <w:color w:val="000000"/>
          <w:highlight w:val="white"/>
        </w:rPr>
        <w:t> </w:t>
      </w:r>
      <w:r>
        <w:rPr>
          <w:b/>
          <w:bCs/>
          <w:i/>
          <w:iCs/>
          <w:highlight w:val="white"/>
        </w:rPr>
        <w:t xml:space="preserve">МВт. </w:t>
      </w:r>
    </w:p>
    <w:p w:rsidR="00A02ECF" w:rsidRDefault="006104A2">
      <w:pPr>
        <w:shd w:val="clear" w:color="auto" w:fill="FFFFFF"/>
        <w:spacing w:before="120" w:line="240" w:lineRule="atLeast"/>
        <w:jc w:val="both"/>
        <w:rPr>
          <w:b/>
          <w:bCs/>
          <w:i/>
          <w:iCs/>
          <w:highlight w:val="white"/>
        </w:rPr>
      </w:pPr>
      <w:r>
        <w:rPr>
          <w:rFonts w:eastAsia="Calibri"/>
          <w:b/>
          <w:bCs/>
          <w:i/>
          <w:iCs/>
          <w:highlight w:val="white"/>
        </w:rPr>
        <w:t xml:space="preserve">Всего электростанции ЕЭС России в 2025 году выработали 1 166,4 млрд кВтч (в т.ч. Группа Газпром – 155,9 млрд кВтч, или 13%).). Наибольшую долю по выработке обеспечивают станции Концерна Росэнергоатом благодаря загрузке генерирующего оборудования АЭС. </w:t>
      </w:r>
    </w:p>
    <w:p w:rsidR="00A02ECF" w:rsidRDefault="006104A2">
      <w:pPr>
        <w:spacing w:before="120"/>
        <w:jc w:val="both"/>
        <w:rPr>
          <w:rFonts w:eastAsia="Calibri"/>
          <w:b/>
          <w:bCs/>
          <w:i/>
          <w:iCs/>
          <w:highlight w:val="white"/>
        </w:rPr>
      </w:pPr>
      <w:r>
        <w:rPr>
          <w:rFonts w:eastAsia="Calibri"/>
          <w:b/>
          <w:bCs/>
          <w:i/>
          <w:iCs/>
          <w:highlight w:val="white"/>
        </w:rPr>
        <w:t xml:space="preserve">По итогам 2025 года </w:t>
      </w:r>
      <w:r>
        <w:rPr>
          <w:b/>
          <w:bCs/>
          <w:i/>
          <w:iCs/>
          <w:highlight w:val="white"/>
        </w:rPr>
        <w:t xml:space="preserve">электропотребление снизилось на </w:t>
      </w:r>
      <w:r>
        <w:rPr>
          <w:b/>
          <w:bCs/>
          <w:i/>
          <w:iCs/>
        </w:rPr>
        <w:t xml:space="preserve">0,8%, по </w:t>
      </w:r>
      <w:r>
        <w:rPr>
          <w:b/>
          <w:bCs/>
          <w:i/>
          <w:iCs/>
          <w:highlight w:val="white"/>
        </w:rPr>
        <w:t>сравнению, с 2024 годом (без учета 29.02.2024). Выработка электроэнергии снизилась на 0,9% относительно 2024 года (без учета 29.02.2024). Отпуск тепловой энергии в 2025 году ниже показателя 2024 года.</w:t>
      </w:r>
      <w:r>
        <w:rPr>
          <w:rFonts w:eastAsia="Calibri"/>
          <w:b/>
          <w:bCs/>
          <w:i/>
          <w:iCs/>
          <w:highlight w:val="white"/>
        </w:rPr>
        <w:t xml:space="preserve"> </w:t>
      </w:r>
    </w:p>
    <w:p w:rsidR="00A02ECF" w:rsidRDefault="006104A2">
      <w:pPr>
        <w:spacing w:before="120"/>
        <w:jc w:val="both"/>
        <w:rPr>
          <w:b/>
          <w:bCs/>
          <w:i/>
          <w:iCs/>
          <w:highlight w:val="white"/>
        </w:rPr>
      </w:pPr>
      <w:bookmarkStart w:id="40" w:name="_Hlk166513399"/>
      <w:r>
        <w:rPr>
          <w:b/>
          <w:bCs/>
          <w:i/>
          <w:iCs/>
          <w:highlight w:val="white"/>
        </w:rPr>
        <w:t xml:space="preserve">В составе Группы Газпром функционирует ООО «Газпром энергохолдинг», осуществляющий управление производственными активами: ПАО «Мосэнерго», ПАО «ТГК-1», ПАО «ОГК-2», ПАО «МОЭК», АО «Газпром теплоэнерго». </w:t>
      </w:r>
      <w:r>
        <w:rPr>
          <w:rFonts w:eastAsia="Calibri"/>
          <w:b/>
          <w:bCs/>
          <w:i/>
          <w:iCs/>
          <w:highlight w:val="white"/>
        </w:rPr>
        <w:t>Установленная электрическая мощность станций генерирующих компаний Группы Газпром энергохолдинг составляет 36 ГВт - порядка 13,5% установленной мощности всей российской электроэнергетики. Электрическая энергия, производимая генерирующими компаниями Группы Газпром, в основном реализуется на российском оптовом рынке электроэнергии. Одним из лидеров российского рынка сбыта электроэнергии является входящее в Группу Газпром АО «Газпром энергосбыт», которое обеспечивает более 95</w:t>
      </w:r>
      <w:r>
        <w:rPr>
          <w:rFonts w:eastAsia="Calibri"/>
          <w:b/>
          <w:bCs/>
          <w:i/>
          <w:iCs/>
          <w:highlight w:val="white"/>
          <w:lang w:val="en-US"/>
        </w:rPr>
        <w:t> </w:t>
      </w:r>
      <w:r>
        <w:rPr>
          <w:rFonts w:eastAsia="Calibri"/>
          <w:b/>
          <w:bCs/>
          <w:i/>
          <w:iCs/>
          <w:highlight w:val="white"/>
        </w:rPr>
        <w:t>% объемов электропотребления дочерних организаций Группы Газпром.</w:t>
      </w:r>
      <w:r>
        <w:rPr>
          <w:b/>
          <w:bCs/>
          <w:i/>
          <w:iCs/>
          <w:highlight w:val="white"/>
        </w:rPr>
        <w:t xml:space="preserve"> </w:t>
      </w:r>
    </w:p>
    <w:p w:rsidR="00A02ECF" w:rsidRDefault="006104A2">
      <w:pPr>
        <w:spacing w:before="120"/>
        <w:jc w:val="both"/>
        <w:rPr>
          <w:b/>
          <w:bCs/>
          <w:i/>
          <w:iCs/>
          <w:color w:val="000000"/>
        </w:rPr>
      </w:pPr>
      <w:r>
        <w:rPr>
          <w:b/>
          <w:bCs/>
          <w:i/>
          <w:iCs/>
          <w:highlight w:val="white"/>
        </w:rPr>
        <w:t xml:space="preserve">Газпром продолжает укреплять позиции в электроэнергетике, осуществляет разработку и внедрение инновационных технологий производства электроэнергии и тепла на электростанциях, модернизирует действующие мощности и строит новые современные объекты генерации. </w:t>
      </w:r>
      <w:r>
        <w:rPr>
          <w:b/>
          <w:i/>
          <w:color w:val="000000"/>
          <w:highlight w:val="white"/>
        </w:rPr>
        <w:t>Среди знаковых событий 2025 года —</w:t>
      </w:r>
      <w:r>
        <w:rPr>
          <w:b/>
          <w:bCs/>
          <w:i/>
          <w:iCs/>
          <w:highlight w:val="white"/>
        </w:rPr>
        <w:t xml:space="preserve"> завершение модернизации котлоагрегата </w:t>
      </w:r>
      <w:r w:rsidR="00957808">
        <w:rPr>
          <w:b/>
          <w:bCs/>
          <w:i/>
          <w:iCs/>
          <w:highlight w:val="white"/>
        </w:rPr>
        <w:t xml:space="preserve">энергоблока </w:t>
      </w:r>
      <w:r>
        <w:rPr>
          <w:b/>
          <w:bCs/>
          <w:i/>
          <w:iCs/>
          <w:highlight w:val="white"/>
        </w:rPr>
        <w:t>№4 Северной ТЭЦ ПАО «ТГК- 1», энергоблоков №13, №16 Сургутской ГРЭС-1 ПАО «ОГК-2», ввод нового литейного комплекса в Тульской области</w:t>
      </w:r>
      <w:r>
        <w:rPr>
          <w:b/>
          <w:i/>
          <w:color w:val="000000"/>
          <w:highlight w:val="white"/>
        </w:rPr>
        <w:t>.</w:t>
      </w:r>
    </w:p>
    <w:p w:rsidR="00A02ECF" w:rsidRDefault="006104A2">
      <w:pPr>
        <w:spacing w:before="120"/>
        <w:jc w:val="both"/>
        <w:rPr>
          <w:b/>
          <w:bCs/>
          <w:i/>
          <w:iCs/>
          <w:highlight w:val="white"/>
        </w:rPr>
      </w:pPr>
      <w:r>
        <w:rPr>
          <w:rFonts w:eastAsia="Calibri"/>
          <w:b/>
          <w:bCs/>
          <w:i/>
          <w:iCs/>
          <w:highlight w:val="white"/>
        </w:rPr>
        <w:t xml:space="preserve">Приоритетами для Группы Газпром в электроэнергетическом бизнесе являются технологии повышения эффективности как генерирующего оборудования, так и процесса эксплуатации тепловых сетей. Деятельность в области повышения энергоэффективности основана на требованиях федерального законодательства, принципах рационального использования ресурсов, а также </w:t>
      </w:r>
      <w:r>
        <w:rPr>
          <w:rFonts w:eastAsia="Calibri"/>
          <w:b/>
          <w:bCs/>
          <w:i/>
          <w:iCs/>
          <w:highlight w:val="white"/>
        </w:rPr>
        <w:lastRenderedPageBreak/>
        <w:t>обязательствах, установленных Политикой ПАО «Газпром» в области энергоэффективности и энергосбережени</w:t>
      </w:r>
      <w:r>
        <w:rPr>
          <w:b/>
          <w:bCs/>
          <w:i/>
          <w:iCs/>
          <w:highlight w:val="white"/>
        </w:rPr>
        <w:t>я.</w:t>
      </w:r>
    </w:p>
    <w:p w:rsidR="00A02ECF" w:rsidRDefault="006104A2">
      <w:pPr>
        <w:spacing w:before="120"/>
        <w:jc w:val="both"/>
        <w:rPr>
          <w:b/>
          <w:bCs/>
          <w:i/>
          <w:iCs/>
          <w:highlight w:val="white"/>
        </w:rPr>
      </w:pPr>
      <w:r>
        <w:rPr>
          <w:rFonts w:eastAsia="Calibri"/>
          <w:highlight w:val="white"/>
        </w:rPr>
        <w:t>К основным факторам, влияющим на состояние электроэнергетической отрасли Российской Федерации, относятся</w:t>
      </w:r>
      <w:r>
        <w:rPr>
          <w:rFonts w:eastAsia="Calibri"/>
          <w:b/>
          <w:bCs/>
          <w:i/>
          <w:iCs/>
          <w:highlight w:val="white"/>
        </w:rPr>
        <w:t xml:space="preserve">: макроэкономические, санкционные и рыночные факторы, а также </w:t>
      </w:r>
      <w:r>
        <w:rPr>
          <w:b/>
          <w:bCs/>
          <w:i/>
          <w:iCs/>
          <w:highlight w:val="white"/>
        </w:rPr>
        <w:t>осуществляемая политика по поддержке возобновляемых источников энергии в ущерб эффективности газовых электростанций, отсутствие единого видения в отношении механизмов стимулирования снижения выбросов СО</w:t>
      </w:r>
      <w:r w:rsidRPr="00EB6824">
        <w:rPr>
          <w:b/>
          <w:bCs/>
          <w:i/>
          <w:iCs/>
          <w:highlight w:val="white"/>
          <w:vertAlign w:val="subscript"/>
        </w:rPr>
        <w:t>2</w:t>
      </w:r>
      <w:r>
        <w:rPr>
          <w:b/>
          <w:bCs/>
          <w:i/>
          <w:iCs/>
          <w:highlight w:val="white"/>
        </w:rPr>
        <w:t xml:space="preserve">, а также возросшая политическая напряженность в отношении российских инвестиций. </w:t>
      </w:r>
    </w:p>
    <w:p w:rsidR="00A02ECF" w:rsidRDefault="006104A2">
      <w:pPr>
        <w:spacing w:before="120"/>
        <w:jc w:val="both"/>
        <w:rPr>
          <w:rFonts w:eastAsia="Calibri"/>
          <w:b/>
          <w:bCs/>
          <w:i/>
          <w:iCs/>
          <w:highlight w:val="white"/>
        </w:rPr>
      </w:pPr>
      <w:r>
        <w:rPr>
          <w:rFonts w:eastAsia="Calibri"/>
          <w:b/>
          <w:bCs/>
          <w:i/>
          <w:iCs/>
          <w:highlight w:val="white"/>
        </w:rPr>
        <w:t>Основу электроэнергетики России в прогнозном периоде будут составлять существующие системы централизованного электроснабжения, базирующиеся на крупных электростанциях: традиционных (ТЭС, АЭС, ГЭС) или на базе ВИЭ – при неуклонном повышении эффективности и экологичности.</w:t>
      </w:r>
      <w:bookmarkEnd w:id="40"/>
    </w:p>
    <w:p w:rsidR="00A02ECF" w:rsidRDefault="006104A2">
      <w:pPr>
        <w:spacing w:before="120" w:line="240" w:lineRule="atLeast"/>
        <w:jc w:val="both"/>
        <w:rPr>
          <w:highlight w:val="white"/>
        </w:rPr>
      </w:pPr>
      <w:r>
        <w:rPr>
          <w:highlight w:val="white"/>
        </w:rPr>
        <w:t>Основные конкуренты Группы Газпром на российском рынке генерации электроэнергии.</w:t>
      </w:r>
    </w:p>
    <w:p w:rsidR="00A02ECF" w:rsidRDefault="006104A2">
      <w:pPr>
        <w:shd w:val="clear" w:color="auto" w:fill="FFFFFF"/>
        <w:spacing w:line="240" w:lineRule="atLeast"/>
        <w:jc w:val="both"/>
        <w:rPr>
          <w:b/>
          <w:bCs/>
          <w:i/>
          <w:iCs/>
          <w:highlight w:val="white"/>
        </w:rPr>
      </w:pPr>
      <w:r>
        <w:rPr>
          <w:b/>
          <w:bCs/>
          <w:i/>
          <w:iCs/>
          <w:highlight w:val="white"/>
        </w:rPr>
        <w:t xml:space="preserve">- Группа РусГидро — лидер в производстве энергии на базе возобновляемых источников водных потоков, солнца, ветра и геотермальной энергии. Установленная мощность – более 38 ГВт; </w:t>
      </w:r>
    </w:p>
    <w:p w:rsidR="00A02ECF" w:rsidRDefault="006104A2">
      <w:pPr>
        <w:shd w:val="clear" w:color="auto" w:fill="FFFFFF"/>
        <w:spacing w:line="240" w:lineRule="atLeast"/>
        <w:jc w:val="both"/>
        <w:rPr>
          <w:b/>
          <w:bCs/>
          <w:i/>
          <w:iCs/>
          <w:highlight w:val="white"/>
        </w:rPr>
      </w:pPr>
      <w:r>
        <w:rPr>
          <w:b/>
          <w:bCs/>
          <w:i/>
          <w:iCs/>
          <w:highlight w:val="white"/>
        </w:rPr>
        <w:t xml:space="preserve">- Группа «Интер РАО» — диверсифицированный энергетический холдинг, управляющий активами в России, а также в странах Европы и СНГ. Установленная мощность – порядка 28 ГВт; </w:t>
      </w:r>
    </w:p>
    <w:p w:rsidR="00A02ECF" w:rsidRDefault="006104A2">
      <w:pPr>
        <w:shd w:val="clear" w:color="auto" w:fill="FFFFFF"/>
        <w:spacing w:line="240" w:lineRule="atLeast"/>
        <w:jc w:val="both"/>
        <w:rPr>
          <w:b/>
          <w:bCs/>
          <w:i/>
          <w:iCs/>
        </w:rPr>
      </w:pPr>
      <w:r>
        <w:rPr>
          <w:b/>
          <w:bCs/>
          <w:i/>
          <w:iCs/>
          <w:highlight w:val="white"/>
        </w:rPr>
        <w:t xml:space="preserve">- АО «Концерн Росэнергоатом» (входит в Электроэнергетический дивизион Госкорпорации «Росатом») является одним из крупнейших предприятий электроэнергетической отрасли России и единственной в России компанией, выполняющей функции эксплуатирующей организации (оператора) атомных станций. Установленная мощность – более 28 ГВт; </w:t>
      </w:r>
    </w:p>
    <w:p w:rsidR="00A02ECF" w:rsidRDefault="006104A2">
      <w:pPr>
        <w:shd w:val="clear" w:color="auto" w:fill="FFFFFF"/>
        <w:spacing w:line="240" w:lineRule="atLeast"/>
        <w:jc w:val="both"/>
        <w:rPr>
          <w:b/>
          <w:bCs/>
          <w:i/>
          <w:highlight w:val="white"/>
        </w:rPr>
      </w:pPr>
      <w:r>
        <w:rPr>
          <w:b/>
          <w:bCs/>
          <w:i/>
          <w:iCs/>
          <w:highlight w:val="white"/>
        </w:rPr>
        <w:t xml:space="preserve">- </w:t>
      </w:r>
      <w:r>
        <w:rPr>
          <w:b/>
          <w:bCs/>
          <w:i/>
          <w:iCs/>
        </w:rPr>
        <w:t>АО «ЭН+ Генерация» (входит в группу компаний «ЭН+» управляет крупнейшими электростанции в Сибири</w:t>
      </w:r>
      <w:r>
        <w:rPr>
          <w:b/>
          <w:bCs/>
          <w:i/>
          <w:iCs/>
          <w:highlight w:val="white"/>
        </w:rPr>
        <w:t xml:space="preserve">. Установленная мощность – более 19 ГВт; </w:t>
      </w:r>
    </w:p>
    <w:p w:rsidR="00A02ECF" w:rsidRDefault="006104A2">
      <w:pPr>
        <w:spacing w:before="120"/>
        <w:jc w:val="both"/>
        <w:rPr>
          <w:b/>
          <w:bCs/>
          <w:i/>
          <w:iCs/>
          <w:highlight w:val="white"/>
        </w:rPr>
      </w:pPr>
      <w:r>
        <w:rPr>
          <w:b/>
          <w:bCs/>
          <w:i/>
          <w:iCs/>
          <w:highlight w:val="white"/>
        </w:rPr>
        <w:t>Сильными сторонами генерирующих активов Группы Газпром является доминирующее положение в регионах присутствия, включая города федерального значения (Москва, Санкт-Петербург), эффективные производственные мощности (новые введенные и модернизируемые энергоблоки), синергия газового и электроэнергетического бизнеса. Слабой стороной, как и у конкурентов, является зависимость выработки энергии от температурного фактора, а также от тарифной политики, проводимой государством, влияющей на экономические показатели деятельности.</w:t>
      </w:r>
    </w:p>
    <w:p w:rsidR="00A02ECF" w:rsidRDefault="006104A2">
      <w:pPr>
        <w:spacing w:before="120"/>
        <w:jc w:val="both"/>
        <w:rPr>
          <w:b/>
          <w:i/>
          <w:highlight w:val="white"/>
        </w:rPr>
      </w:pPr>
      <w:r>
        <w:rPr>
          <w:rFonts w:eastAsia="Calibri"/>
          <w:b/>
          <w:bCs/>
          <w:i/>
          <w:iCs/>
          <w:highlight w:val="white"/>
        </w:rPr>
        <w:t xml:space="preserve">Группа Газпром рассматривает сегмент электроэнергетики в качестве одного из наиболее перспективных, в том числе в части обеспечения возможного роста газопотребления как в России, так и в мире. В связи с этим Компания продолжает постоянный мониторинг возможностей развития бизнеса на данном направлении. </w:t>
      </w:r>
    </w:p>
    <w:p w:rsidR="00A02ECF" w:rsidRDefault="00A02ECF">
      <w:pPr>
        <w:spacing w:before="0" w:after="0"/>
        <w:jc w:val="both"/>
        <w:rPr>
          <w:b/>
          <w:bCs/>
          <w:sz w:val="28"/>
          <w:szCs w:val="28"/>
        </w:rPr>
      </w:pPr>
    </w:p>
    <w:p w:rsidR="00A02ECF" w:rsidRDefault="006104A2">
      <w:pPr>
        <w:spacing w:before="120"/>
        <w:jc w:val="both"/>
        <w:rPr>
          <w:b/>
          <w:bCs/>
          <w:sz w:val="28"/>
          <w:szCs w:val="28"/>
        </w:rPr>
      </w:pPr>
      <w:r>
        <w:rPr>
          <w:b/>
          <w:bCs/>
          <w:sz w:val="28"/>
          <w:szCs w:val="28"/>
        </w:rPr>
        <w:t>Медиаотрасль</w:t>
      </w:r>
    </w:p>
    <w:p w:rsidR="00A02ECF" w:rsidRDefault="006104A2">
      <w:pPr>
        <w:spacing w:before="120"/>
        <w:jc w:val="both"/>
        <w:rPr>
          <w:b/>
          <w:bCs/>
          <w:i/>
          <w:iCs/>
        </w:rPr>
      </w:pPr>
      <w:bookmarkStart w:id="41" w:name="_Hlk198803540"/>
      <w:bookmarkStart w:id="42" w:name="_Hlk197958798"/>
      <w:bookmarkStart w:id="43" w:name="_Hlk184901778"/>
      <w:bookmarkStart w:id="44" w:name="_Hlk192065229"/>
      <w:bookmarkEnd w:id="37"/>
      <w:bookmarkEnd w:id="38"/>
      <w:bookmarkEnd w:id="39"/>
      <w:r>
        <w:rPr>
          <w:b/>
          <w:bCs/>
          <w:i/>
          <w:iCs/>
        </w:rPr>
        <w:t>Сегмент «Медиабизнес» предста</w:t>
      </w:r>
      <w:r w:rsidR="00EB6824">
        <w:rPr>
          <w:b/>
          <w:bCs/>
          <w:i/>
          <w:iCs/>
        </w:rPr>
        <w:t>влен АО «Газпром-Медиа Холдинг» и</w:t>
      </w:r>
      <w:r>
        <w:rPr>
          <w:b/>
          <w:bCs/>
          <w:i/>
          <w:iCs/>
        </w:rPr>
        <w:t xml:space="preserve"> его дочерними обществами («Газпром-Медиа Холдинг», ГПМХ), ведущими деятельность во всех основных сферах медиаотрасли Российской Федерации.</w:t>
      </w:r>
    </w:p>
    <w:p w:rsidR="00A02ECF" w:rsidRDefault="006104A2">
      <w:pPr>
        <w:spacing w:before="120" w:after="0"/>
        <w:jc w:val="both"/>
        <w:rPr>
          <w:b/>
          <w:i/>
          <w:iCs/>
          <w:u w:val="single"/>
        </w:rPr>
      </w:pPr>
      <w:r>
        <w:rPr>
          <w:b/>
          <w:i/>
          <w:iCs/>
          <w:u w:val="single"/>
        </w:rPr>
        <w:t>Рынок телевещания</w:t>
      </w:r>
    </w:p>
    <w:p w:rsidR="00A02ECF" w:rsidRDefault="006104A2">
      <w:pPr>
        <w:jc w:val="both"/>
        <w:rPr>
          <w:b/>
          <w:i/>
          <w:iCs/>
        </w:rPr>
      </w:pPr>
      <w:r>
        <w:rPr>
          <w:b/>
          <w:i/>
          <w:iCs/>
        </w:rPr>
        <w:t>Рынок телевещания Российской Федерации характеризуется высокой концентрацией аудитории на телеканалах крупнейших медиагрупп. К крупнейшим медиагруппам относятся «Всероссийская государственная телевизионная и радиовещательная компания» (ВГТРК), «Газпром-Медиа Холдинг» (ГПМХ), «Национальная Медиа Группа» (НМГ). С 2015 года на территории Российской Федерации осуществлялся переход с аналогового телевизионного вещания на цифровое. В рамках государственной инициативы было реализовано общефедеральное вещание в двух цифровых мультиплексах, в каждом из которых представлено десять телеканалов. В отдельных регионах России осуществляется вещание третьего (регионального) мультиплекса. Все крупнейшие медиахолдинги представлены в двух общефедеральных цифровых мультиплексах (ВГТРК – пять телеканалов, ГПМХ – пять телеканалов, НМГ – четыре эфирных телеканала). В российской телевещательной отрасли также представлены региональные и тематические телеканалы, которые, как правило, осуществляют телевещание в кабельных и спутниковых сетях трансляции, а также посредством сети Интернет. Все телеканалы, входящие в состав первого и второго мультиплексов, также представлены в сетях кабельного и спутникового телевидения и доступны аудитории посредством сети Интернет. В крупнейшее в России профессиональное объединение вещательных компаний (Национальную Ассоциацию Телерадиовещателей) входят более 600 федеральных и региональных компаний, организаций и учреждений.</w:t>
      </w:r>
    </w:p>
    <w:p w:rsidR="00A02ECF" w:rsidRDefault="006104A2">
      <w:pPr>
        <w:spacing w:before="120" w:after="0"/>
        <w:jc w:val="both"/>
        <w:rPr>
          <w:b/>
        </w:rPr>
      </w:pPr>
      <w:r>
        <w:rPr>
          <w:b/>
        </w:rPr>
        <w:lastRenderedPageBreak/>
        <w:t>Доли крупнейших российских медиахолдингов в российской аудитории телевидения, %</w:t>
      </w:r>
    </w:p>
    <w:p w:rsidR="00A02ECF" w:rsidRDefault="006104A2">
      <w:pPr>
        <w:spacing w:before="0" w:after="60"/>
        <w:jc w:val="both"/>
      </w:pPr>
      <w:r>
        <w:t>(зрители в России в возрасте 14–44 лет, вся Россия.)</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20"/>
        <w:gridCol w:w="1417"/>
        <w:gridCol w:w="1418"/>
        <w:gridCol w:w="1417"/>
      </w:tblGrid>
      <w:tr w:rsidR="00A02ECF">
        <w:tc>
          <w:tcPr>
            <w:tcW w:w="4820" w:type="dxa"/>
            <w:vAlign w:val="bottom"/>
          </w:tcPr>
          <w:p w:rsidR="00A02ECF" w:rsidRDefault="006104A2">
            <w:pPr>
              <w:rPr>
                <w:b/>
              </w:rPr>
            </w:pPr>
            <w:r>
              <w:rPr>
                <w:b/>
              </w:rPr>
              <w:t>Наименование показателя</w:t>
            </w:r>
          </w:p>
        </w:tc>
        <w:tc>
          <w:tcPr>
            <w:tcW w:w="1417" w:type="dxa"/>
            <w:vAlign w:val="bottom"/>
          </w:tcPr>
          <w:p w:rsidR="00A02ECF" w:rsidRDefault="006104A2">
            <w:pPr>
              <w:jc w:val="center"/>
              <w:rPr>
                <w:b/>
              </w:rPr>
            </w:pPr>
            <w:r>
              <w:rPr>
                <w:b/>
              </w:rPr>
              <w:t>2023 год</w:t>
            </w:r>
          </w:p>
        </w:tc>
        <w:tc>
          <w:tcPr>
            <w:tcW w:w="1418" w:type="dxa"/>
            <w:vAlign w:val="bottom"/>
          </w:tcPr>
          <w:p w:rsidR="00A02ECF" w:rsidRDefault="006104A2">
            <w:pPr>
              <w:jc w:val="center"/>
              <w:rPr>
                <w:b/>
              </w:rPr>
            </w:pPr>
            <w:r>
              <w:rPr>
                <w:b/>
              </w:rPr>
              <w:t>2024 год</w:t>
            </w:r>
          </w:p>
        </w:tc>
        <w:tc>
          <w:tcPr>
            <w:tcW w:w="1417" w:type="dxa"/>
            <w:vAlign w:val="bottom"/>
          </w:tcPr>
          <w:p w:rsidR="00A02ECF" w:rsidRDefault="006104A2">
            <w:pPr>
              <w:jc w:val="center"/>
              <w:rPr>
                <w:b/>
              </w:rPr>
            </w:pPr>
            <w:r>
              <w:rPr>
                <w:b/>
              </w:rPr>
              <w:t>2025 год</w:t>
            </w:r>
          </w:p>
        </w:tc>
      </w:tr>
      <w:tr w:rsidR="00A02ECF">
        <w:tc>
          <w:tcPr>
            <w:tcW w:w="4820" w:type="dxa"/>
            <w:vAlign w:val="center"/>
          </w:tcPr>
          <w:p w:rsidR="00A02ECF" w:rsidRDefault="006104A2">
            <w:pPr>
              <w:rPr>
                <w:lang w:val="en-US"/>
              </w:rPr>
            </w:pPr>
            <w:r>
              <w:t>Доля аудитории ВГТРК*</w:t>
            </w:r>
          </w:p>
        </w:tc>
        <w:tc>
          <w:tcPr>
            <w:tcW w:w="1417" w:type="dxa"/>
          </w:tcPr>
          <w:p w:rsidR="00A02ECF" w:rsidRDefault="006104A2">
            <w:pPr>
              <w:jc w:val="center"/>
            </w:pPr>
            <w:r>
              <w:t>14,5</w:t>
            </w:r>
          </w:p>
        </w:tc>
        <w:tc>
          <w:tcPr>
            <w:tcW w:w="1418" w:type="dxa"/>
          </w:tcPr>
          <w:p w:rsidR="00A02ECF" w:rsidRDefault="006104A2">
            <w:pPr>
              <w:jc w:val="center"/>
            </w:pPr>
            <w:r>
              <w:t>14,1</w:t>
            </w:r>
          </w:p>
        </w:tc>
        <w:tc>
          <w:tcPr>
            <w:tcW w:w="1417" w:type="dxa"/>
          </w:tcPr>
          <w:p w:rsidR="00A02ECF" w:rsidRDefault="006104A2">
            <w:pPr>
              <w:jc w:val="center"/>
            </w:pPr>
            <w:r>
              <w:rPr>
                <w:color w:val="000000"/>
              </w:rPr>
              <w:t>15,2</w:t>
            </w:r>
          </w:p>
        </w:tc>
      </w:tr>
      <w:tr w:rsidR="00A02ECF">
        <w:tc>
          <w:tcPr>
            <w:tcW w:w="4820" w:type="dxa"/>
            <w:vAlign w:val="center"/>
          </w:tcPr>
          <w:p w:rsidR="00A02ECF" w:rsidRDefault="006104A2">
            <w:pPr>
              <w:rPr>
                <w:lang w:val="en-US"/>
              </w:rPr>
            </w:pPr>
            <w:r>
              <w:t xml:space="preserve">Доля аудитории ГПМХ </w:t>
            </w:r>
            <w:r>
              <w:rPr>
                <w:lang w:val="en-US"/>
              </w:rPr>
              <w:t>*</w:t>
            </w:r>
          </w:p>
        </w:tc>
        <w:tc>
          <w:tcPr>
            <w:tcW w:w="1417" w:type="dxa"/>
          </w:tcPr>
          <w:p w:rsidR="00A02ECF" w:rsidRDefault="006104A2">
            <w:pPr>
              <w:jc w:val="center"/>
            </w:pPr>
            <w:r>
              <w:t>25,1</w:t>
            </w:r>
          </w:p>
        </w:tc>
        <w:tc>
          <w:tcPr>
            <w:tcW w:w="1418" w:type="dxa"/>
          </w:tcPr>
          <w:p w:rsidR="00A02ECF" w:rsidRDefault="006104A2">
            <w:pPr>
              <w:jc w:val="center"/>
            </w:pPr>
            <w:r>
              <w:t>25,4</w:t>
            </w:r>
          </w:p>
        </w:tc>
        <w:tc>
          <w:tcPr>
            <w:tcW w:w="1417" w:type="dxa"/>
          </w:tcPr>
          <w:p w:rsidR="00A02ECF" w:rsidRDefault="006104A2">
            <w:pPr>
              <w:jc w:val="center"/>
            </w:pPr>
            <w:r>
              <w:rPr>
                <w:color w:val="000000"/>
              </w:rPr>
              <w:t>26,7</w:t>
            </w:r>
          </w:p>
        </w:tc>
      </w:tr>
      <w:tr w:rsidR="00A02ECF">
        <w:tc>
          <w:tcPr>
            <w:tcW w:w="4820" w:type="dxa"/>
            <w:vAlign w:val="center"/>
          </w:tcPr>
          <w:p w:rsidR="00A02ECF" w:rsidRDefault="006104A2">
            <w:pPr>
              <w:rPr>
                <w:lang w:val="en-US"/>
              </w:rPr>
            </w:pPr>
            <w:r>
              <w:t>Доля аудитории НМГ</w:t>
            </w:r>
            <w:r>
              <w:rPr>
                <w:lang w:val="en-US"/>
              </w:rPr>
              <w:t>*</w:t>
            </w:r>
          </w:p>
        </w:tc>
        <w:tc>
          <w:tcPr>
            <w:tcW w:w="1417" w:type="dxa"/>
          </w:tcPr>
          <w:p w:rsidR="00A02ECF" w:rsidRDefault="006104A2">
            <w:pPr>
              <w:jc w:val="center"/>
            </w:pPr>
            <w:r>
              <w:t>27,5</w:t>
            </w:r>
          </w:p>
        </w:tc>
        <w:tc>
          <w:tcPr>
            <w:tcW w:w="1418" w:type="dxa"/>
          </w:tcPr>
          <w:p w:rsidR="00A02ECF" w:rsidRDefault="006104A2">
            <w:pPr>
              <w:jc w:val="center"/>
            </w:pPr>
            <w:r>
              <w:t>27,6</w:t>
            </w:r>
          </w:p>
        </w:tc>
        <w:tc>
          <w:tcPr>
            <w:tcW w:w="1417" w:type="dxa"/>
          </w:tcPr>
          <w:p w:rsidR="00A02ECF" w:rsidRDefault="006104A2">
            <w:pPr>
              <w:jc w:val="center"/>
            </w:pPr>
            <w:r>
              <w:rPr>
                <w:color w:val="000000"/>
              </w:rPr>
              <w:t>25,8</w:t>
            </w:r>
          </w:p>
        </w:tc>
      </w:tr>
    </w:tbl>
    <w:p w:rsidR="00A02ECF" w:rsidRDefault="006104A2">
      <w:pPr>
        <w:spacing w:after="0"/>
        <w:jc w:val="both"/>
        <w:rPr>
          <w:i/>
          <w:iCs/>
          <w:sz w:val="18"/>
          <w:szCs w:val="18"/>
        </w:rPr>
      </w:pPr>
      <w:r>
        <w:rPr>
          <w:bCs/>
          <w:i/>
          <w:iCs/>
          <w:sz w:val="18"/>
          <w:szCs w:val="18"/>
        </w:rPr>
        <w:t>Источник: Оценки аудитории приведены на основе исследований АО «Медиаскоп» — уполномоченной организации по исследованию объема аудитории в России.</w:t>
      </w:r>
    </w:p>
    <w:p w:rsidR="00A02ECF" w:rsidRDefault="006104A2">
      <w:pPr>
        <w:spacing w:after="0"/>
        <w:jc w:val="both"/>
        <w:rPr>
          <w:i/>
          <w:iCs/>
        </w:rPr>
      </w:pPr>
      <w:r>
        <w:rPr>
          <w:i/>
          <w:iCs/>
        </w:rPr>
        <w:t>*Арифметические суммы ВГТРК – РОССИЯ 1, РОССИЯ 24, РОССИЯ К, МУЛЬТ, КАРУСЕЛЬ; ГПМХ – МАТЧ ТВ, ТНТ 4, НТВ, ТНТ, ПЯТНИЦА, ТВ-3, 2X2, СУББОТА!; НМГ – ЧЕ, СТС, ДОМАШНИЙ, РЕН ТВ, ПЯТЫЙ КАНАЛ, СТС LOVE</w:t>
      </w:r>
    </w:p>
    <w:p w:rsidR="00A02ECF" w:rsidRDefault="00A02ECF">
      <w:pPr>
        <w:spacing w:after="0"/>
        <w:jc w:val="both"/>
        <w:rPr>
          <w:b/>
          <w:i/>
          <w:iCs/>
          <w:u w:val="single"/>
        </w:rPr>
      </w:pPr>
    </w:p>
    <w:p w:rsidR="00A02ECF" w:rsidRDefault="006104A2">
      <w:pPr>
        <w:spacing w:after="0"/>
        <w:jc w:val="both"/>
        <w:rPr>
          <w:b/>
          <w:i/>
          <w:iCs/>
          <w:u w:val="single"/>
        </w:rPr>
      </w:pPr>
      <w:r>
        <w:rPr>
          <w:b/>
          <w:i/>
          <w:iCs/>
          <w:u w:val="single"/>
        </w:rPr>
        <w:t>Рынок радиовещания</w:t>
      </w:r>
    </w:p>
    <w:p w:rsidR="00A02ECF" w:rsidRDefault="006104A2">
      <w:pPr>
        <w:spacing w:before="120"/>
        <w:jc w:val="both"/>
        <w:rPr>
          <w:b/>
          <w:i/>
          <w:iCs/>
        </w:rPr>
      </w:pPr>
      <w:bookmarkStart w:id="45" w:name="_Hlk194653343"/>
      <w:r>
        <w:rPr>
          <w:b/>
          <w:i/>
          <w:iCs/>
        </w:rPr>
        <w:t>В Российской Федерации (в городах с населением более 100 тыс. человек) ежемесячная аудитория радио составляет более пятидесяти миллионов человек в возрасте старше двенадцати лет. Министерство цифрового развития, связи и массовых коммуникаций Российской Федерации относит к системообразующим радиовещателям 11 медиахолдингов (управляющих несколькими радиостанциями) и отдельных радиостанций. «Газпром-Медиа Холдинг» входит в число системообразующих радиовещателей наряду с ЗАО «Русская медиагруппа» (РМГ), ООО «Европейская медиа группа» (ЕМГ) и другими. На рынке Российской Федерации присутствуют национальные сети (радиостанции, осуществляющие вещание более чем в половине субъектов Российской Федерации либо присутствующие в национальной панели Медиаскоп), межрегиональные сети (осуществляющие вещание более чем в 2-х субъектах Российской Федерации), региональные сети (осуществляющие сетевое вещание в пределах 1–2 субъектов Российской Федерации с охватом населения свыше 1 млн человек) и локальные радиостанции. На протяжении последних десяти лет количество зарегистрированных действующих лицензий на осуществление радиовещания в Российской Федерации превышает три с половиной тысячи. В Российской Федерации на регулярной основе проводятся конкурсы на получение права осуществлять наземное эфирное вещание с использованием конкретных радиочастот. «Газпром-Медиа Холдинг» принимает участие в соответствующих конкурсах для расширения присутствия радиостанций, входящих в сегмент Медиабизнеса, на территории Российской Федерации. В течение 2025 года запущено вещание в 16 городах (собственная лицензия), вещание радиостанций «Газпром-Медиа Холдинга» на конкурсах ФКК выиграно в 6 городах. «Газпром-Медиа Холдинг» стабильно входит в тройку лидеров на рынке радиовещания России, больше десяти лет лидирует на рынке Москвы. Рост прослушивания радиостанций в онлайн-среде, в том числе посредством умных колонок, позволяет поддерживать интерес к данному медиа среди аудитории. Суммарная длительность прослушивания аудиопотоков «Газпром-Медиа Холдинга» составляет около тридцати шести миллионов часов в месяц (36 млн часов).</w:t>
      </w:r>
    </w:p>
    <w:p w:rsidR="00A02ECF" w:rsidRDefault="00A02ECF">
      <w:pPr>
        <w:spacing w:after="0"/>
        <w:jc w:val="both"/>
        <w:rPr>
          <w:b/>
          <w:bCs/>
        </w:rPr>
      </w:pPr>
    </w:p>
    <w:p w:rsidR="00A02ECF" w:rsidRDefault="006104A2">
      <w:pPr>
        <w:spacing w:before="60" w:after="0"/>
        <w:jc w:val="both"/>
        <w:rPr>
          <w:b/>
          <w:bCs/>
        </w:rPr>
      </w:pPr>
      <w:bookmarkStart w:id="46" w:name="_Hlk197959090"/>
      <w:r>
        <w:rPr>
          <w:b/>
          <w:bCs/>
        </w:rPr>
        <w:t>Доли крупнейших российских медиахолдингов в российской аудитории радио, %</w:t>
      </w:r>
    </w:p>
    <w:p w:rsidR="00A02ECF" w:rsidRDefault="006104A2">
      <w:pPr>
        <w:spacing w:after="0"/>
        <w:jc w:val="both"/>
        <w:rPr>
          <w:bCs/>
        </w:rPr>
      </w:pPr>
      <w:r>
        <w:rPr>
          <w:bCs/>
        </w:rPr>
        <w:t>(слушатели в России в возрасте 20-55 лет в городах с населением более 100 тыс. чел.)</w:t>
      </w:r>
      <w:bookmarkEnd w:id="41"/>
    </w:p>
    <w:tbl>
      <w:tblPr>
        <w:tblW w:w="9072"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820"/>
        <w:gridCol w:w="1417"/>
        <w:gridCol w:w="1418"/>
        <w:gridCol w:w="1417"/>
      </w:tblGrid>
      <w:tr w:rsidR="00A02ECF">
        <w:trPr>
          <w:trHeight w:val="20"/>
          <w:tblHeader/>
        </w:trPr>
        <w:tc>
          <w:tcPr>
            <w:tcW w:w="4820" w:type="dxa"/>
            <w:vAlign w:val="bottom"/>
          </w:tcPr>
          <w:p w:rsidR="00A02ECF" w:rsidRDefault="006104A2">
            <w:pPr>
              <w:ind w:left="142"/>
              <w:rPr>
                <w:b/>
                <w:bCs/>
              </w:rPr>
            </w:pPr>
            <w:r>
              <w:rPr>
                <w:b/>
              </w:rPr>
              <w:t>Наименование показателя</w:t>
            </w:r>
          </w:p>
        </w:tc>
        <w:tc>
          <w:tcPr>
            <w:tcW w:w="1417" w:type="dxa"/>
            <w:tcMar>
              <w:top w:w="0" w:type="dxa"/>
              <w:left w:w="108" w:type="dxa"/>
              <w:bottom w:w="0" w:type="dxa"/>
              <w:right w:w="108" w:type="dxa"/>
            </w:tcMar>
            <w:vAlign w:val="bottom"/>
          </w:tcPr>
          <w:p w:rsidR="00A02ECF" w:rsidRDefault="006104A2">
            <w:pPr>
              <w:spacing w:after="0"/>
              <w:jc w:val="center"/>
              <w:rPr>
                <w:b/>
                <w:bCs/>
              </w:rPr>
            </w:pPr>
            <w:r>
              <w:rPr>
                <w:b/>
                <w:bCs/>
              </w:rPr>
              <w:t>2023 год</w:t>
            </w:r>
          </w:p>
        </w:tc>
        <w:tc>
          <w:tcPr>
            <w:tcW w:w="1418" w:type="dxa"/>
            <w:tcMar>
              <w:top w:w="0" w:type="dxa"/>
              <w:left w:w="108" w:type="dxa"/>
              <w:bottom w:w="0" w:type="dxa"/>
              <w:right w:w="108" w:type="dxa"/>
            </w:tcMar>
            <w:vAlign w:val="bottom"/>
          </w:tcPr>
          <w:p w:rsidR="00A02ECF" w:rsidRDefault="006104A2">
            <w:pPr>
              <w:spacing w:after="0"/>
              <w:jc w:val="center"/>
              <w:rPr>
                <w:b/>
                <w:bCs/>
              </w:rPr>
            </w:pPr>
            <w:r>
              <w:rPr>
                <w:b/>
                <w:bCs/>
              </w:rPr>
              <w:t>2024 год</w:t>
            </w:r>
          </w:p>
        </w:tc>
        <w:tc>
          <w:tcPr>
            <w:tcW w:w="1417" w:type="dxa"/>
            <w:vAlign w:val="bottom"/>
          </w:tcPr>
          <w:p w:rsidR="00A02ECF" w:rsidRDefault="006104A2">
            <w:pPr>
              <w:spacing w:after="0"/>
              <w:jc w:val="center"/>
              <w:rPr>
                <w:b/>
                <w:bCs/>
              </w:rPr>
            </w:pPr>
            <w:r>
              <w:rPr>
                <w:b/>
                <w:bCs/>
              </w:rPr>
              <w:t>2025 год</w:t>
            </w:r>
          </w:p>
        </w:tc>
      </w:tr>
      <w:tr w:rsidR="00A02ECF">
        <w:trPr>
          <w:trHeight w:val="20"/>
        </w:trPr>
        <w:tc>
          <w:tcPr>
            <w:tcW w:w="4820" w:type="dxa"/>
            <w:shd w:val="clear" w:color="auto" w:fill="FFFFFF"/>
            <w:tcMar>
              <w:top w:w="0" w:type="dxa"/>
              <w:left w:w="108" w:type="dxa"/>
              <w:bottom w:w="0" w:type="dxa"/>
              <w:right w:w="108" w:type="dxa"/>
            </w:tcMar>
          </w:tcPr>
          <w:p w:rsidR="00A02ECF" w:rsidRDefault="006104A2">
            <w:r>
              <w:t>Доля аудитории ЕМГ</w:t>
            </w:r>
          </w:p>
        </w:tc>
        <w:tc>
          <w:tcPr>
            <w:tcW w:w="1417" w:type="dxa"/>
            <w:shd w:val="clear" w:color="auto" w:fill="FFFFFF"/>
            <w:tcMar>
              <w:top w:w="0" w:type="dxa"/>
              <w:left w:w="108" w:type="dxa"/>
              <w:bottom w:w="0" w:type="dxa"/>
              <w:right w:w="108" w:type="dxa"/>
            </w:tcMar>
          </w:tcPr>
          <w:p w:rsidR="00A02ECF" w:rsidRDefault="006104A2">
            <w:pPr>
              <w:jc w:val="center"/>
            </w:pPr>
            <w:r>
              <w:t>25,3</w:t>
            </w:r>
          </w:p>
        </w:tc>
        <w:tc>
          <w:tcPr>
            <w:tcW w:w="1418" w:type="dxa"/>
            <w:shd w:val="clear" w:color="auto" w:fill="FFFFFF"/>
            <w:tcMar>
              <w:top w:w="0" w:type="dxa"/>
              <w:left w:w="108" w:type="dxa"/>
              <w:bottom w:w="0" w:type="dxa"/>
              <w:right w:w="108" w:type="dxa"/>
            </w:tcMar>
          </w:tcPr>
          <w:p w:rsidR="00A02ECF" w:rsidRDefault="006104A2">
            <w:pPr>
              <w:jc w:val="center"/>
            </w:pPr>
            <w:r>
              <w:t>25,4</w:t>
            </w:r>
          </w:p>
        </w:tc>
        <w:tc>
          <w:tcPr>
            <w:tcW w:w="1417" w:type="dxa"/>
            <w:shd w:val="clear" w:color="auto" w:fill="FFFFFF"/>
          </w:tcPr>
          <w:p w:rsidR="00A02ECF" w:rsidRDefault="006104A2">
            <w:pPr>
              <w:jc w:val="center"/>
            </w:pPr>
            <w:r>
              <w:rPr>
                <w:color w:val="000000"/>
              </w:rPr>
              <w:t>24,5</w:t>
            </w:r>
          </w:p>
        </w:tc>
      </w:tr>
      <w:tr w:rsidR="00A02ECF">
        <w:trPr>
          <w:trHeight w:val="20"/>
        </w:trPr>
        <w:tc>
          <w:tcPr>
            <w:tcW w:w="4820" w:type="dxa"/>
            <w:noWrap/>
            <w:tcMar>
              <w:top w:w="0" w:type="dxa"/>
              <w:left w:w="108" w:type="dxa"/>
              <w:bottom w:w="0" w:type="dxa"/>
              <w:right w:w="108" w:type="dxa"/>
            </w:tcMar>
            <w:vAlign w:val="center"/>
          </w:tcPr>
          <w:p w:rsidR="00A02ECF" w:rsidRDefault="006104A2">
            <w:r>
              <w:t>Доля аудитории ГПМХ</w:t>
            </w:r>
          </w:p>
        </w:tc>
        <w:tc>
          <w:tcPr>
            <w:tcW w:w="1417" w:type="dxa"/>
            <w:noWrap/>
            <w:tcMar>
              <w:top w:w="0" w:type="dxa"/>
              <w:left w:w="108" w:type="dxa"/>
              <w:bottom w:w="0" w:type="dxa"/>
              <w:right w:w="108" w:type="dxa"/>
            </w:tcMar>
          </w:tcPr>
          <w:p w:rsidR="00A02ECF" w:rsidRDefault="006104A2">
            <w:pPr>
              <w:jc w:val="center"/>
            </w:pPr>
            <w:r>
              <w:t>18,9</w:t>
            </w:r>
          </w:p>
        </w:tc>
        <w:tc>
          <w:tcPr>
            <w:tcW w:w="1418" w:type="dxa"/>
            <w:tcMar>
              <w:top w:w="0" w:type="dxa"/>
              <w:left w:w="108" w:type="dxa"/>
              <w:bottom w:w="0" w:type="dxa"/>
              <w:right w:w="108" w:type="dxa"/>
            </w:tcMar>
          </w:tcPr>
          <w:p w:rsidR="00A02ECF" w:rsidRDefault="006104A2">
            <w:pPr>
              <w:jc w:val="center"/>
            </w:pPr>
            <w:r>
              <w:t>19,2</w:t>
            </w:r>
          </w:p>
        </w:tc>
        <w:tc>
          <w:tcPr>
            <w:tcW w:w="1417" w:type="dxa"/>
          </w:tcPr>
          <w:p w:rsidR="00A02ECF" w:rsidRDefault="006104A2">
            <w:pPr>
              <w:jc w:val="center"/>
            </w:pPr>
            <w:r>
              <w:rPr>
                <w:color w:val="000000"/>
              </w:rPr>
              <w:t>19,1</w:t>
            </w:r>
          </w:p>
        </w:tc>
      </w:tr>
      <w:tr w:rsidR="00A02ECF">
        <w:trPr>
          <w:trHeight w:val="281"/>
        </w:trPr>
        <w:tc>
          <w:tcPr>
            <w:tcW w:w="4820" w:type="dxa"/>
            <w:noWrap/>
            <w:tcMar>
              <w:top w:w="0" w:type="dxa"/>
              <w:left w:w="108" w:type="dxa"/>
              <w:bottom w:w="0" w:type="dxa"/>
              <w:right w:w="108" w:type="dxa"/>
            </w:tcMar>
            <w:vAlign w:val="center"/>
          </w:tcPr>
          <w:p w:rsidR="00A02ECF" w:rsidRDefault="006104A2">
            <w:r>
              <w:t>Доля аудитории РМГ</w:t>
            </w:r>
          </w:p>
        </w:tc>
        <w:tc>
          <w:tcPr>
            <w:tcW w:w="1417" w:type="dxa"/>
            <w:noWrap/>
            <w:tcMar>
              <w:top w:w="0" w:type="dxa"/>
              <w:left w:w="108" w:type="dxa"/>
              <w:bottom w:w="0" w:type="dxa"/>
              <w:right w:w="108" w:type="dxa"/>
            </w:tcMar>
          </w:tcPr>
          <w:p w:rsidR="00A02ECF" w:rsidRDefault="006104A2">
            <w:pPr>
              <w:jc w:val="center"/>
            </w:pPr>
            <w:r>
              <w:t>16,3</w:t>
            </w:r>
          </w:p>
        </w:tc>
        <w:tc>
          <w:tcPr>
            <w:tcW w:w="1418" w:type="dxa"/>
            <w:tcMar>
              <w:top w:w="0" w:type="dxa"/>
              <w:left w:w="108" w:type="dxa"/>
              <w:bottom w:w="0" w:type="dxa"/>
              <w:right w:w="108" w:type="dxa"/>
            </w:tcMar>
          </w:tcPr>
          <w:p w:rsidR="00A02ECF" w:rsidRDefault="006104A2">
            <w:pPr>
              <w:jc w:val="center"/>
            </w:pPr>
            <w:r>
              <w:t>16,2</w:t>
            </w:r>
          </w:p>
        </w:tc>
        <w:tc>
          <w:tcPr>
            <w:tcW w:w="1417" w:type="dxa"/>
          </w:tcPr>
          <w:p w:rsidR="00A02ECF" w:rsidRDefault="006104A2">
            <w:pPr>
              <w:jc w:val="center"/>
            </w:pPr>
            <w:r>
              <w:rPr>
                <w:color w:val="000000"/>
              </w:rPr>
              <w:t>16,7</w:t>
            </w:r>
            <w:bookmarkEnd w:id="45"/>
          </w:p>
        </w:tc>
      </w:tr>
    </w:tbl>
    <w:p w:rsidR="00A02ECF" w:rsidRDefault="006104A2">
      <w:pPr>
        <w:spacing w:after="0"/>
        <w:jc w:val="both"/>
        <w:rPr>
          <w:i/>
          <w:iCs/>
          <w:sz w:val="18"/>
          <w:szCs w:val="18"/>
        </w:rPr>
      </w:pPr>
      <w:r>
        <w:rPr>
          <w:bCs/>
          <w:i/>
          <w:iCs/>
          <w:sz w:val="18"/>
          <w:szCs w:val="18"/>
        </w:rPr>
        <w:t>Источник: Оценки аудитории приведены на основе исследований АО «Медиаскоп» — уполномоченной организации по исследованию объема аудитории в России.</w:t>
      </w:r>
    </w:p>
    <w:p w:rsidR="00A02ECF" w:rsidRDefault="00A02ECF">
      <w:pPr>
        <w:spacing w:after="0"/>
        <w:jc w:val="both"/>
        <w:rPr>
          <w:b/>
          <w:bCs/>
          <w:sz w:val="24"/>
          <w:szCs w:val="24"/>
        </w:rPr>
      </w:pPr>
    </w:p>
    <w:p w:rsidR="00A02ECF" w:rsidRDefault="006104A2">
      <w:pPr>
        <w:spacing w:before="0" w:after="0"/>
        <w:jc w:val="both"/>
        <w:rPr>
          <w:b/>
          <w:i/>
          <w:iCs/>
          <w:u w:val="single"/>
        </w:rPr>
      </w:pPr>
      <w:r>
        <w:rPr>
          <w:b/>
          <w:i/>
          <w:iCs/>
          <w:u w:val="single"/>
        </w:rPr>
        <w:t>Рынок распространения контента</w:t>
      </w:r>
    </w:p>
    <w:p w:rsidR="00A02ECF" w:rsidRDefault="006104A2">
      <w:pPr>
        <w:spacing w:before="120"/>
        <w:jc w:val="both"/>
        <w:rPr>
          <w:b/>
          <w:i/>
          <w:iCs/>
        </w:rPr>
      </w:pPr>
      <w:r>
        <w:rPr>
          <w:b/>
          <w:i/>
          <w:iCs/>
        </w:rPr>
        <w:t xml:space="preserve">Российский рынок распространения контента активно развивается на протяжении последних лет. Основными направлениями распространения контента являются кинопрокат, телевидение и онлайн-платформы. Рынок онлайн-платформ быстро развивается и уже стал существенным элементом системы распространения контента. Одновременно с этим продолжается развитие кинопроката – увеличивается количество кинотеатров и кинозалов. Последнее становится возможным благодаря программе субсидирования Фонда кино. На рынке кинопроката в 2025 году продолжали доминировать фильмы российского производства, доля которых была близка к 80%. Законодательные инициативы в области распространения контента преимущественно фокусируются по направлениям поддержки отечественного кинопроизводства и дистрибуции, урегулирования вопросов деятельности кинотеатров и онлайн-платформ, урегулирования вопросов доступа к контенту. Фильмы, </w:t>
      </w:r>
      <w:r>
        <w:rPr>
          <w:b/>
          <w:i/>
          <w:iCs/>
        </w:rPr>
        <w:lastRenderedPageBreak/>
        <w:t>распространяемые компаниями «Газпром-Медиа Холдинг», обеспечили ГПМХ в 2025 году сохранение лидирующей позиции в российском кинопрокате по кассовым сборам.</w:t>
      </w:r>
    </w:p>
    <w:p w:rsidR="00A02ECF" w:rsidRDefault="00A02ECF">
      <w:pPr>
        <w:spacing w:before="120" w:after="0"/>
        <w:jc w:val="both"/>
        <w:rPr>
          <w:b/>
          <w:i/>
          <w:iCs/>
        </w:rPr>
      </w:pPr>
    </w:p>
    <w:p w:rsidR="00A02ECF" w:rsidRDefault="006104A2">
      <w:pPr>
        <w:spacing w:before="0" w:after="0"/>
        <w:jc w:val="both"/>
        <w:rPr>
          <w:b/>
          <w:i/>
          <w:iCs/>
          <w:u w:val="single"/>
        </w:rPr>
      </w:pPr>
      <w:r>
        <w:rPr>
          <w:b/>
          <w:i/>
          <w:iCs/>
          <w:u w:val="single"/>
        </w:rPr>
        <w:t>Рынок онлайн-платформ</w:t>
      </w:r>
    </w:p>
    <w:p w:rsidR="00A02ECF" w:rsidRDefault="006104A2">
      <w:pPr>
        <w:spacing w:before="120"/>
        <w:jc w:val="both"/>
        <w:rPr>
          <w:b/>
          <w:i/>
          <w:iCs/>
        </w:rPr>
      </w:pPr>
      <w:r>
        <w:rPr>
          <w:b/>
          <w:i/>
          <w:iCs/>
        </w:rPr>
        <w:t xml:space="preserve">Российский рынок онлайн-платформ в настоящее время уже характеризуется широким проникновением экосистемных продуктов, в которых медийные сервисы, являются дополнительными элементами, способствующими созданию добавленной ценности для пользователя (онлайн-кинотеатр «ОККО» – СБЕР, онлайн-кинотеатр «Кион» – МТС), или представляют собой технологическое решение, замыкающее полноту функциональности продукта внутри экосистемы. К исключениям можно отнести онлайн-кинотеатр «Кинопоиск», который, с одной стороны, дополняет функционал экосистемы Яндекс контентной функцией, но при этом исторически обладал собственной аудиторией, которая придала дополнительный импульс развития подписной модели экосистемы «Яндекс Плюс». Одновременно на рынке представлены независимые платформы – в частности, лидер рынка по количеству подписчиков (не учитывая Кинопоиск) и выручке «ИВИ», платформа оператора Ростелеком – Wink-More.tv. На рынке онлайн-платформ «Газпром-Медиа Холдинг» представлен онлайн-кинотеатром </w:t>
      </w:r>
      <w:r>
        <w:rPr>
          <w:rFonts w:eastAsia="Arial"/>
          <w:b/>
          <w:i/>
          <w:iCs/>
        </w:rPr>
        <w:t>PREMIER</w:t>
      </w:r>
      <w:r>
        <w:rPr>
          <w:b/>
          <w:i/>
          <w:iCs/>
        </w:rPr>
        <w:t xml:space="preserve">, платформой пользовательского и профессионального контента </w:t>
      </w:r>
      <w:r>
        <w:rPr>
          <w:rFonts w:eastAsia="Arial"/>
          <w:b/>
          <w:i/>
          <w:iCs/>
        </w:rPr>
        <w:t>RUTUBE</w:t>
      </w:r>
      <w:r>
        <w:rPr>
          <w:b/>
          <w:i/>
          <w:iCs/>
        </w:rPr>
        <w:t xml:space="preserve"> и онлайн-платформами традиционных СМИ (телеканалов, печатных изданий и радиостанций).</w:t>
      </w:r>
    </w:p>
    <w:p w:rsidR="00A02ECF" w:rsidRDefault="00A02ECF">
      <w:pPr>
        <w:spacing w:before="0" w:after="0"/>
        <w:jc w:val="both"/>
        <w:rPr>
          <w:b/>
          <w:i/>
          <w:iCs/>
        </w:rPr>
      </w:pPr>
    </w:p>
    <w:p w:rsidR="00A02ECF" w:rsidRDefault="006104A2">
      <w:pPr>
        <w:spacing w:before="120" w:after="0"/>
        <w:jc w:val="both"/>
        <w:rPr>
          <w:b/>
        </w:rPr>
      </w:pPr>
      <w:r>
        <w:rPr>
          <w:b/>
        </w:rPr>
        <w:t xml:space="preserve">Среднемесячная аудитория некоторых медиакомпаний на рынке Российской Федерации, </w:t>
      </w:r>
      <w:r>
        <w:rPr>
          <w:b/>
        </w:rPr>
        <w:br w:type="textWrapping" w:clear="all"/>
        <w:t>млн пользователей</w:t>
      </w:r>
    </w:p>
    <w:p w:rsidR="00A02ECF" w:rsidRDefault="006104A2">
      <w:pPr>
        <w:spacing w:after="0"/>
        <w:jc w:val="both"/>
        <w:rPr>
          <w:bCs/>
        </w:rPr>
      </w:pPr>
      <w:r>
        <w:rPr>
          <w:bCs/>
        </w:rPr>
        <w:t>(пользователи в России в возрасте от 12 лет, в декабре)</w:t>
      </w: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820"/>
        <w:gridCol w:w="1417"/>
        <w:gridCol w:w="1418"/>
        <w:gridCol w:w="1417"/>
      </w:tblGrid>
      <w:tr w:rsidR="00A02ECF">
        <w:trPr>
          <w:trHeight w:val="20"/>
          <w:tblHeader/>
        </w:trPr>
        <w:tc>
          <w:tcPr>
            <w:tcW w:w="4820" w:type="dxa"/>
            <w:vAlign w:val="bottom"/>
          </w:tcPr>
          <w:p w:rsidR="00A02ECF" w:rsidRDefault="006104A2">
            <w:pPr>
              <w:spacing w:after="0"/>
              <w:ind w:left="142"/>
              <w:rPr>
                <w:b/>
                <w:bCs/>
              </w:rPr>
            </w:pPr>
            <w:r>
              <w:rPr>
                <w:b/>
              </w:rPr>
              <w:t>Наименование показателя</w:t>
            </w:r>
          </w:p>
        </w:tc>
        <w:tc>
          <w:tcPr>
            <w:tcW w:w="1417" w:type="dxa"/>
            <w:shd w:val="clear" w:color="auto" w:fill="FFFFFF"/>
            <w:tcMar>
              <w:top w:w="0" w:type="dxa"/>
              <w:left w:w="108" w:type="dxa"/>
              <w:bottom w:w="0" w:type="dxa"/>
              <w:right w:w="108" w:type="dxa"/>
            </w:tcMar>
            <w:vAlign w:val="bottom"/>
          </w:tcPr>
          <w:p w:rsidR="00A02ECF" w:rsidRDefault="006104A2">
            <w:pPr>
              <w:spacing w:after="0"/>
              <w:jc w:val="center"/>
              <w:rPr>
                <w:b/>
                <w:bCs/>
              </w:rPr>
            </w:pPr>
            <w:r>
              <w:rPr>
                <w:b/>
              </w:rPr>
              <w:t>2023 год</w:t>
            </w:r>
          </w:p>
        </w:tc>
        <w:tc>
          <w:tcPr>
            <w:tcW w:w="1418" w:type="dxa"/>
            <w:shd w:val="clear" w:color="auto" w:fill="FFFFFF"/>
            <w:tcMar>
              <w:top w:w="0" w:type="dxa"/>
              <w:left w:w="108" w:type="dxa"/>
              <w:bottom w:w="0" w:type="dxa"/>
              <w:right w:w="108" w:type="dxa"/>
            </w:tcMar>
            <w:vAlign w:val="bottom"/>
          </w:tcPr>
          <w:p w:rsidR="00A02ECF" w:rsidRDefault="006104A2">
            <w:pPr>
              <w:spacing w:after="0"/>
              <w:jc w:val="center"/>
              <w:rPr>
                <w:b/>
                <w:bCs/>
              </w:rPr>
            </w:pPr>
            <w:r>
              <w:rPr>
                <w:b/>
              </w:rPr>
              <w:t>2024 год</w:t>
            </w:r>
          </w:p>
        </w:tc>
        <w:tc>
          <w:tcPr>
            <w:tcW w:w="1417" w:type="dxa"/>
            <w:shd w:val="clear" w:color="auto" w:fill="FFFFFF"/>
            <w:vAlign w:val="bottom"/>
          </w:tcPr>
          <w:p w:rsidR="00A02ECF" w:rsidRDefault="006104A2">
            <w:pPr>
              <w:spacing w:after="0"/>
              <w:jc w:val="center"/>
              <w:rPr>
                <w:b/>
                <w:bCs/>
              </w:rPr>
            </w:pPr>
            <w:r>
              <w:rPr>
                <w:b/>
              </w:rPr>
              <w:t>2025 год</w:t>
            </w:r>
          </w:p>
        </w:tc>
      </w:tr>
      <w:tr w:rsidR="00A02ECF">
        <w:trPr>
          <w:trHeight w:val="20"/>
        </w:trPr>
        <w:tc>
          <w:tcPr>
            <w:tcW w:w="4820" w:type="dxa"/>
            <w:shd w:val="clear" w:color="auto" w:fill="FFFFFF"/>
            <w:tcMar>
              <w:top w:w="0" w:type="dxa"/>
              <w:left w:w="108" w:type="dxa"/>
              <w:bottom w:w="0" w:type="dxa"/>
              <w:right w:w="108" w:type="dxa"/>
            </w:tcMar>
            <w:vAlign w:val="center"/>
          </w:tcPr>
          <w:p w:rsidR="00A02ECF" w:rsidRDefault="006104A2">
            <w:r>
              <w:t>Среднемесячная аудитория Гугл</w:t>
            </w:r>
          </w:p>
        </w:tc>
        <w:tc>
          <w:tcPr>
            <w:tcW w:w="1417" w:type="dxa"/>
            <w:shd w:val="clear" w:color="auto" w:fill="FFFFFF"/>
            <w:tcMar>
              <w:top w:w="0" w:type="dxa"/>
              <w:left w:w="108" w:type="dxa"/>
              <w:bottom w:w="0" w:type="dxa"/>
              <w:right w:w="108" w:type="dxa"/>
            </w:tcMar>
            <w:vAlign w:val="center"/>
          </w:tcPr>
          <w:p w:rsidR="00A02ECF" w:rsidRDefault="006104A2">
            <w:pPr>
              <w:jc w:val="center"/>
            </w:pPr>
            <w:r>
              <w:t>101,3</w:t>
            </w:r>
          </w:p>
        </w:tc>
        <w:tc>
          <w:tcPr>
            <w:tcW w:w="1418" w:type="dxa"/>
            <w:shd w:val="clear" w:color="auto" w:fill="FFFFFF"/>
            <w:tcMar>
              <w:top w:w="0" w:type="dxa"/>
              <w:left w:w="108" w:type="dxa"/>
              <w:bottom w:w="0" w:type="dxa"/>
              <w:right w:w="108" w:type="dxa"/>
            </w:tcMar>
            <w:vAlign w:val="center"/>
          </w:tcPr>
          <w:p w:rsidR="00A02ECF" w:rsidRDefault="006104A2">
            <w:pPr>
              <w:jc w:val="center"/>
            </w:pPr>
            <w:r>
              <w:t>101,0</w:t>
            </w:r>
          </w:p>
        </w:tc>
        <w:tc>
          <w:tcPr>
            <w:tcW w:w="1417" w:type="dxa"/>
            <w:shd w:val="clear" w:color="auto" w:fill="FFFFFF"/>
          </w:tcPr>
          <w:p w:rsidR="00A02ECF" w:rsidRDefault="006104A2">
            <w:pPr>
              <w:jc w:val="center"/>
            </w:pPr>
            <w:r>
              <w:rPr>
                <w:color w:val="000000"/>
              </w:rPr>
              <w:t>102,3</w:t>
            </w:r>
          </w:p>
        </w:tc>
      </w:tr>
      <w:tr w:rsidR="00A02ECF">
        <w:trPr>
          <w:trHeight w:val="20"/>
        </w:trPr>
        <w:tc>
          <w:tcPr>
            <w:tcW w:w="4820" w:type="dxa"/>
            <w:noWrap/>
            <w:tcMar>
              <w:top w:w="0" w:type="dxa"/>
              <w:left w:w="108" w:type="dxa"/>
              <w:bottom w:w="0" w:type="dxa"/>
              <w:right w:w="108" w:type="dxa"/>
            </w:tcMar>
            <w:vAlign w:val="center"/>
          </w:tcPr>
          <w:p w:rsidR="00A02ECF" w:rsidRDefault="006104A2">
            <w:r>
              <w:t>Среднемесячная аудитория Яндекс</w:t>
            </w:r>
          </w:p>
        </w:tc>
        <w:tc>
          <w:tcPr>
            <w:tcW w:w="1417" w:type="dxa"/>
            <w:noWrap/>
            <w:tcMar>
              <w:top w:w="0" w:type="dxa"/>
              <w:left w:w="108" w:type="dxa"/>
              <w:bottom w:w="0" w:type="dxa"/>
              <w:right w:w="108" w:type="dxa"/>
            </w:tcMar>
            <w:vAlign w:val="center"/>
          </w:tcPr>
          <w:p w:rsidR="00A02ECF" w:rsidRDefault="006104A2">
            <w:pPr>
              <w:jc w:val="center"/>
            </w:pPr>
            <w:r>
              <w:t>100,0</w:t>
            </w:r>
          </w:p>
        </w:tc>
        <w:tc>
          <w:tcPr>
            <w:tcW w:w="1418" w:type="dxa"/>
            <w:tcMar>
              <w:top w:w="0" w:type="dxa"/>
              <w:left w:w="108" w:type="dxa"/>
              <w:bottom w:w="0" w:type="dxa"/>
              <w:right w:w="108" w:type="dxa"/>
            </w:tcMar>
            <w:vAlign w:val="center"/>
          </w:tcPr>
          <w:p w:rsidR="00A02ECF" w:rsidRDefault="006104A2">
            <w:pPr>
              <w:jc w:val="center"/>
            </w:pPr>
            <w:r>
              <w:t>100,5</w:t>
            </w:r>
          </w:p>
        </w:tc>
        <w:tc>
          <w:tcPr>
            <w:tcW w:w="1417" w:type="dxa"/>
          </w:tcPr>
          <w:p w:rsidR="00A02ECF" w:rsidRDefault="006104A2">
            <w:pPr>
              <w:jc w:val="center"/>
            </w:pPr>
            <w:r>
              <w:rPr>
                <w:color w:val="000000"/>
              </w:rPr>
              <w:t>102,2</w:t>
            </w:r>
          </w:p>
        </w:tc>
      </w:tr>
      <w:tr w:rsidR="00A02ECF">
        <w:trPr>
          <w:trHeight w:val="20"/>
        </w:trPr>
        <w:tc>
          <w:tcPr>
            <w:tcW w:w="4820" w:type="dxa"/>
            <w:noWrap/>
            <w:tcMar>
              <w:top w:w="0" w:type="dxa"/>
              <w:left w:w="108" w:type="dxa"/>
              <w:bottom w:w="0" w:type="dxa"/>
              <w:right w:w="108" w:type="dxa"/>
            </w:tcMar>
            <w:vAlign w:val="center"/>
          </w:tcPr>
          <w:p w:rsidR="00A02ECF" w:rsidRDefault="006104A2">
            <w:r>
              <w:t>Среднемесячная аудитория Телеграм</w:t>
            </w:r>
          </w:p>
        </w:tc>
        <w:tc>
          <w:tcPr>
            <w:tcW w:w="1417" w:type="dxa"/>
            <w:noWrap/>
            <w:tcMar>
              <w:top w:w="0" w:type="dxa"/>
              <w:left w:w="108" w:type="dxa"/>
              <w:bottom w:w="0" w:type="dxa"/>
              <w:right w:w="108" w:type="dxa"/>
            </w:tcMar>
            <w:vAlign w:val="center"/>
          </w:tcPr>
          <w:p w:rsidR="00A02ECF" w:rsidRDefault="006104A2">
            <w:pPr>
              <w:jc w:val="center"/>
            </w:pPr>
            <w:r>
              <w:t>87,4</w:t>
            </w:r>
          </w:p>
        </w:tc>
        <w:tc>
          <w:tcPr>
            <w:tcW w:w="1418" w:type="dxa"/>
            <w:tcMar>
              <w:top w:w="0" w:type="dxa"/>
              <w:left w:w="108" w:type="dxa"/>
              <w:bottom w:w="0" w:type="dxa"/>
              <w:right w:w="108" w:type="dxa"/>
            </w:tcMar>
            <w:vAlign w:val="center"/>
          </w:tcPr>
          <w:p w:rsidR="00A02ECF" w:rsidRDefault="006104A2">
            <w:pPr>
              <w:jc w:val="center"/>
            </w:pPr>
            <w:r>
              <w:t>92,5</w:t>
            </w:r>
          </w:p>
        </w:tc>
        <w:tc>
          <w:tcPr>
            <w:tcW w:w="1417" w:type="dxa"/>
          </w:tcPr>
          <w:p w:rsidR="00A02ECF" w:rsidRDefault="006104A2">
            <w:pPr>
              <w:jc w:val="center"/>
            </w:pPr>
            <w:r>
              <w:rPr>
                <w:color w:val="000000"/>
              </w:rPr>
              <w:t>96,8</w:t>
            </w:r>
          </w:p>
        </w:tc>
      </w:tr>
      <w:tr w:rsidR="00A02ECF">
        <w:trPr>
          <w:trHeight w:val="20"/>
        </w:trPr>
        <w:tc>
          <w:tcPr>
            <w:tcW w:w="4820" w:type="dxa"/>
            <w:noWrap/>
            <w:tcMar>
              <w:top w:w="0" w:type="dxa"/>
              <w:left w:w="108" w:type="dxa"/>
              <w:bottom w:w="0" w:type="dxa"/>
              <w:right w:w="108" w:type="dxa"/>
            </w:tcMar>
            <w:vAlign w:val="center"/>
          </w:tcPr>
          <w:p w:rsidR="00A02ECF" w:rsidRDefault="006104A2">
            <w:r>
              <w:t>Среднемесячная аудитория СБЕР</w:t>
            </w:r>
          </w:p>
        </w:tc>
        <w:tc>
          <w:tcPr>
            <w:tcW w:w="1417" w:type="dxa"/>
            <w:noWrap/>
            <w:tcMar>
              <w:top w:w="0" w:type="dxa"/>
              <w:left w:w="108" w:type="dxa"/>
              <w:bottom w:w="0" w:type="dxa"/>
              <w:right w:w="108" w:type="dxa"/>
            </w:tcMar>
            <w:vAlign w:val="center"/>
          </w:tcPr>
          <w:p w:rsidR="00A02ECF" w:rsidRDefault="006104A2">
            <w:pPr>
              <w:jc w:val="center"/>
            </w:pPr>
            <w:r>
              <w:t>91,8</w:t>
            </w:r>
          </w:p>
        </w:tc>
        <w:tc>
          <w:tcPr>
            <w:tcW w:w="1418" w:type="dxa"/>
            <w:tcMar>
              <w:top w:w="0" w:type="dxa"/>
              <w:left w:w="108" w:type="dxa"/>
              <w:bottom w:w="0" w:type="dxa"/>
              <w:right w:w="108" w:type="dxa"/>
            </w:tcMar>
            <w:vAlign w:val="center"/>
          </w:tcPr>
          <w:p w:rsidR="00A02ECF" w:rsidRDefault="006104A2">
            <w:pPr>
              <w:jc w:val="center"/>
            </w:pPr>
            <w:r>
              <w:t>91,6</w:t>
            </w:r>
          </w:p>
        </w:tc>
        <w:tc>
          <w:tcPr>
            <w:tcW w:w="1417" w:type="dxa"/>
          </w:tcPr>
          <w:p w:rsidR="00A02ECF" w:rsidRDefault="006104A2">
            <w:pPr>
              <w:jc w:val="center"/>
            </w:pPr>
            <w:r>
              <w:rPr>
                <w:color w:val="000000"/>
              </w:rPr>
              <w:t>92,0</w:t>
            </w:r>
          </w:p>
        </w:tc>
      </w:tr>
      <w:tr w:rsidR="00A02ECF">
        <w:trPr>
          <w:trHeight w:val="20"/>
        </w:trPr>
        <w:tc>
          <w:tcPr>
            <w:tcW w:w="4820" w:type="dxa"/>
            <w:noWrap/>
            <w:tcMar>
              <w:top w:w="0" w:type="dxa"/>
              <w:left w:w="108" w:type="dxa"/>
              <w:bottom w:w="0" w:type="dxa"/>
              <w:right w:w="108" w:type="dxa"/>
            </w:tcMar>
            <w:vAlign w:val="center"/>
          </w:tcPr>
          <w:p w:rsidR="00A02ECF" w:rsidRDefault="006104A2">
            <w:pPr>
              <w:rPr>
                <w:highlight w:val="yellow"/>
              </w:rPr>
            </w:pPr>
            <w:r>
              <w:t>Среднемесячная аудитория ГПМХ</w:t>
            </w:r>
          </w:p>
        </w:tc>
        <w:tc>
          <w:tcPr>
            <w:tcW w:w="1417" w:type="dxa"/>
            <w:noWrap/>
            <w:tcMar>
              <w:top w:w="0" w:type="dxa"/>
              <w:left w:w="108" w:type="dxa"/>
              <w:bottom w:w="0" w:type="dxa"/>
              <w:right w:w="108" w:type="dxa"/>
            </w:tcMar>
            <w:vAlign w:val="center"/>
          </w:tcPr>
          <w:p w:rsidR="00A02ECF" w:rsidRDefault="006104A2">
            <w:pPr>
              <w:jc w:val="center"/>
            </w:pPr>
            <w:r>
              <w:t>56,3</w:t>
            </w:r>
          </w:p>
        </w:tc>
        <w:tc>
          <w:tcPr>
            <w:tcW w:w="1418" w:type="dxa"/>
            <w:tcMar>
              <w:top w:w="0" w:type="dxa"/>
              <w:left w:w="108" w:type="dxa"/>
              <w:bottom w:w="0" w:type="dxa"/>
              <w:right w:w="108" w:type="dxa"/>
            </w:tcMar>
            <w:vAlign w:val="center"/>
          </w:tcPr>
          <w:p w:rsidR="00A02ECF" w:rsidRDefault="006104A2">
            <w:pPr>
              <w:jc w:val="center"/>
            </w:pPr>
            <w:r>
              <w:t>80,7</w:t>
            </w:r>
          </w:p>
        </w:tc>
        <w:tc>
          <w:tcPr>
            <w:tcW w:w="1417" w:type="dxa"/>
          </w:tcPr>
          <w:p w:rsidR="00A02ECF" w:rsidRDefault="006104A2">
            <w:pPr>
              <w:jc w:val="center"/>
            </w:pPr>
            <w:r>
              <w:rPr>
                <w:color w:val="000000"/>
              </w:rPr>
              <w:t>86,2</w:t>
            </w:r>
          </w:p>
        </w:tc>
      </w:tr>
    </w:tbl>
    <w:p w:rsidR="00A02ECF" w:rsidRDefault="006104A2">
      <w:pPr>
        <w:spacing w:after="0"/>
        <w:jc w:val="both"/>
        <w:rPr>
          <w:i/>
          <w:iCs/>
          <w:sz w:val="18"/>
          <w:szCs w:val="18"/>
        </w:rPr>
      </w:pPr>
      <w:r>
        <w:rPr>
          <w:bCs/>
          <w:i/>
          <w:iCs/>
          <w:sz w:val="18"/>
          <w:szCs w:val="18"/>
        </w:rPr>
        <w:t>Источник: Оценки аудитории приведены на основе исследований АО «Медиаскоп» — уполномоченной организации по исследованию объема аудитории в России.</w:t>
      </w:r>
    </w:p>
    <w:p w:rsidR="00A02ECF" w:rsidRDefault="006104A2">
      <w:pPr>
        <w:spacing w:before="120" w:after="0"/>
        <w:jc w:val="both"/>
      </w:pPr>
      <w:r>
        <w:t>Факторы и условия, влияющие на медиаотрасль.</w:t>
      </w:r>
    </w:p>
    <w:p w:rsidR="00A02ECF" w:rsidRDefault="006104A2">
      <w:pPr>
        <w:spacing w:before="120"/>
        <w:jc w:val="both"/>
        <w:rPr>
          <w:b/>
          <w:bCs/>
          <w:i/>
          <w:iCs/>
        </w:rPr>
      </w:pPr>
      <w:r>
        <w:rPr>
          <w:b/>
          <w:i/>
          <w:u w:val="single"/>
        </w:rPr>
        <w:t>Изменчивость предпочтений потребителей</w:t>
      </w:r>
      <w:r>
        <w:t xml:space="preserve"> </w:t>
      </w:r>
      <w:r>
        <w:rPr>
          <w:b/>
          <w:bCs/>
          <w:i/>
          <w:iCs/>
        </w:rPr>
        <w:t>приводит к быстрому обновлению предложения аудио-визуальных произведений, являющихся результатом деятельности медиаотрасли. Участники рынка на</w:t>
      </w:r>
      <w:r>
        <w:rPr>
          <w:b/>
          <w:bCs/>
          <w:i/>
          <w:iCs/>
          <w:lang w:val="en-US"/>
        </w:rPr>
        <w:t> </w:t>
      </w:r>
      <w:r>
        <w:rPr>
          <w:b/>
          <w:bCs/>
          <w:i/>
          <w:iCs/>
        </w:rPr>
        <w:t>постоянной основе разрабатывают новое контентное предложение, что обеспечивает конкурентоспособность и достижение контакта с аудиторией.</w:t>
      </w:r>
    </w:p>
    <w:p w:rsidR="00A02ECF" w:rsidRDefault="006104A2">
      <w:pPr>
        <w:spacing w:before="120"/>
        <w:jc w:val="both"/>
        <w:rPr>
          <w:b/>
          <w:bCs/>
          <w:i/>
          <w:iCs/>
        </w:rPr>
      </w:pPr>
      <w:r>
        <w:rPr>
          <w:b/>
          <w:bCs/>
          <w:i/>
          <w:iCs/>
          <w:u w:val="single"/>
        </w:rPr>
        <w:t>Импортозамещение производства контента</w:t>
      </w:r>
      <w:r>
        <w:t xml:space="preserve"> </w:t>
      </w:r>
      <w:r>
        <w:rPr>
          <w:b/>
          <w:bCs/>
          <w:i/>
          <w:iCs/>
        </w:rPr>
        <w:t>приводит к повышению вовлеченности российских производителей контента, которые предлагают качественный контент, отвечающий предпочтениям русскоязычной аудитории во всем мире.</w:t>
      </w:r>
    </w:p>
    <w:p w:rsidR="00A02ECF" w:rsidRDefault="006104A2">
      <w:pPr>
        <w:spacing w:before="120"/>
        <w:jc w:val="both"/>
        <w:rPr>
          <w:b/>
          <w:bCs/>
          <w:i/>
          <w:iCs/>
        </w:rPr>
      </w:pPr>
      <w:r>
        <w:rPr>
          <w:b/>
          <w:bCs/>
          <w:i/>
          <w:iCs/>
        </w:rPr>
        <w:t>Постоянное</w:t>
      </w:r>
      <w:r>
        <w:t xml:space="preserve"> </w:t>
      </w:r>
      <w:r>
        <w:rPr>
          <w:b/>
          <w:i/>
          <w:u w:val="single"/>
        </w:rPr>
        <w:t>технологическое развитие</w:t>
      </w:r>
      <w:r>
        <w:t xml:space="preserve"> </w:t>
      </w:r>
      <w:r>
        <w:rPr>
          <w:b/>
          <w:bCs/>
          <w:i/>
          <w:iCs/>
        </w:rPr>
        <w:t>средств разработки, хранения и доставки контента расширяет возможности медиаотрасли по контакту с аудиторией и диверсификации контентного предложения. Возникновение новых технологических решений позволяет повышать качество оказываемых услуг и создавать дополнительную ценность для аудитории.</w:t>
      </w:r>
    </w:p>
    <w:p w:rsidR="00A02ECF" w:rsidRDefault="006104A2">
      <w:pPr>
        <w:spacing w:before="120"/>
        <w:jc w:val="both"/>
        <w:rPr>
          <w:rFonts w:ascii="TimesNewRomanPSMT" w:hAnsi="TimesNewRomanPSMT"/>
        </w:rPr>
      </w:pPr>
      <w:r>
        <w:rPr>
          <w:rFonts w:ascii="TimesNewRomanPSMT" w:hAnsi="TimesNewRomanPSMT"/>
          <w:b/>
          <w:bCs/>
          <w:i/>
          <w:iCs/>
        </w:rPr>
        <w:t xml:space="preserve">Обеспечение </w:t>
      </w:r>
      <w:r>
        <w:rPr>
          <w:rFonts w:ascii="TimesNewRomanPSMT" w:hAnsi="TimesNewRomanPSMT"/>
          <w:b/>
          <w:bCs/>
          <w:i/>
          <w:iCs/>
          <w:u w:val="single"/>
        </w:rPr>
        <w:t>необходимой информационной безопасности и надежности предоставляемых сервисов</w:t>
      </w:r>
      <w:r>
        <w:rPr>
          <w:rFonts w:ascii="TimesNewRomanPSMT" w:hAnsi="TimesNewRomanPSMT"/>
        </w:rPr>
        <w:t>.</w:t>
      </w:r>
    </w:p>
    <w:p w:rsidR="00A02ECF" w:rsidRDefault="006104A2">
      <w:pPr>
        <w:spacing w:before="240" w:after="0"/>
        <w:jc w:val="both"/>
      </w:pPr>
      <w:r>
        <w:t>Сведения об основных конкурентах.</w:t>
      </w:r>
      <w:bookmarkEnd w:id="46"/>
    </w:p>
    <w:p w:rsidR="00A02ECF" w:rsidRDefault="006104A2">
      <w:pPr>
        <w:spacing w:before="120"/>
        <w:jc w:val="both"/>
        <w:rPr>
          <w:b/>
          <w:bCs/>
          <w:i/>
          <w:iCs/>
        </w:rPr>
      </w:pPr>
      <w:r>
        <w:rPr>
          <w:b/>
          <w:bCs/>
          <w:i/>
          <w:iCs/>
        </w:rPr>
        <w:t xml:space="preserve">В Российской Федерации перечень общероссийских обязательных общедоступных телеканалов определяется Указом Президента Российской Федерации от 24.06.2009 №715 (в редакции Указа Президента РФ от 22.04.2024 № 282). Общероссийские обязательные общедоступные телеканалы (далее – ОООТ) и радиоканалы являются обязательными для распространения на всей территории Российской Федерации и бесплатными для потребителей, а их эфирная наземная трансляция на всей территории Российской Федерации осуществляется федеральным государственным унитарным предприятием «Российская телевизионная и радиовещательная сеть». ОООТ осуществляют вещание в составе первого цифрового мультиплекса. В составе ОООТ представлены следующие телеканалы ГПМХ: Телеканал «Матч ТВ» и Телекомпания НТВ. Телеканалы основных конкурентов ГПМХ (крупнейшие медиахолдинги РФ) также представлены в составе ОООТ (ВГТРК – четыре телеканала, НМГ – один телеканал). Возможность вещания во втором цифровом мультиплексе определяется по </w:t>
      </w:r>
      <w:r>
        <w:rPr>
          <w:b/>
          <w:bCs/>
          <w:i/>
          <w:iCs/>
        </w:rPr>
        <w:lastRenderedPageBreak/>
        <w:t>итогам конкурсных процедур, проводимых Федеральной конкурсной комиссией по телерадиовещанию. В составе второго цифрового мультиплекса представлены три телеканала «</w:t>
      </w:r>
      <w:r>
        <w:rPr>
          <w:b/>
          <w:i/>
          <w:iCs/>
        </w:rPr>
        <w:t>Газпром-Медиа Холдинга»</w:t>
      </w:r>
      <w:r>
        <w:rPr>
          <w:b/>
          <w:bCs/>
          <w:i/>
          <w:iCs/>
        </w:rPr>
        <w:t>: ТНТ, «Пятница!» и ТВ-3. Телеканалы НМГ также представлены в составе второго цифрового мультиплекса (три телеканала).</w:t>
      </w:r>
    </w:p>
    <w:p w:rsidR="00A02ECF" w:rsidRDefault="006104A2">
      <w:pPr>
        <w:spacing w:before="120"/>
        <w:jc w:val="both"/>
        <w:rPr>
          <w:b/>
          <w:bCs/>
          <w:i/>
          <w:iCs/>
        </w:rPr>
      </w:pPr>
      <w:r>
        <w:rPr>
          <w:b/>
          <w:i/>
          <w:iCs/>
        </w:rPr>
        <w:t>«Газпром-Медиа Холдинг»</w:t>
      </w:r>
      <w:r>
        <w:rPr>
          <w:b/>
          <w:bCs/>
          <w:i/>
          <w:iCs/>
        </w:rPr>
        <w:t xml:space="preserve"> осуществляет деятельность в отрасли, частично регулируемой государством, в первую очередь с точки зрения возможности доступа на рынок.</w:t>
      </w:r>
    </w:p>
    <w:p w:rsidR="00A02ECF" w:rsidRDefault="006104A2">
      <w:pPr>
        <w:spacing w:before="120"/>
        <w:jc w:val="both"/>
        <w:rPr>
          <w:b/>
          <w:bCs/>
          <w:i/>
          <w:iCs/>
        </w:rPr>
      </w:pPr>
      <w:r>
        <w:rPr>
          <w:b/>
          <w:bCs/>
          <w:i/>
          <w:iCs/>
        </w:rPr>
        <w:t>Основными конкурентами «</w:t>
      </w:r>
      <w:r>
        <w:rPr>
          <w:b/>
          <w:i/>
          <w:iCs/>
        </w:rPr>
        <w:t>Газпром-Медиа Холдинга»</w:t>
      </w:r>
      <w:r>
        <w:rPr>
          <w:b/>
          <w:bCs/>
          <w:i/>
          <w:iCs/>
        </w:rPr>
        <w:t xml:space="preserve"> на рынке радиовещания являются Европейская медиа группа, Русская медиагруппа и другие национальные радиохолдинги, на локальных рынках в качестве конкурентов могут рассматриваться популярные местные станции.</w:t>
      </w:r>
    </w:p>
    <w:p w:rsidR="00A02ECF" w:rsidRDefault="006104A2">
      <w:pPr>
        <w:spacing w:before="120"/>
        <w:jc w:val="both"/>
        <w:rPr>
          <w:b/>
          <w:bCs/>
          <w:i/>
          <w:iCs/>
        </w:rPr>
      </w:pPr>
      <w:r>
        <w:rPr>
          <w:b/>
          <w:bCs/>
          <w:i/>
          <w:iCs/>
        </w:rPr>
        <w:t>Основными конкурентами «</w:t>
      </w:r>
      <w:r>
        <w:rPr>
          <w:b/>
          <w:i/>
          <w:iCs/>
        </w:rPr>
        <w:t>Газпром-Медиа Холдинга»</w:t>
      </w:r>
      <w:r>
        <w:rPr>
          <w:b/>
          <w:bCs/>
          <w:i/>
          <w:iCs/>
        </w:rPr>
        <w:t xml:space="preserve"> на рынке распространения контента являются крупнейшие дистрибуторы и студии-производители. Одними из крупнейших дистрибуторов кинотеатральных прав (после «Централ Партнершип», входящего в ГПМХ) являются «НМГ Кинопрокат», «Вольга», «Атмосфера кино».</w:t>
      </w:r>
    </w:p>
    <w:p w:rsidR="00A02ECF" w:rsidRDefault="006104A2">
      <w:pPr>
        <w:spacing w:before="120"/>
        <w:jc w:val="both"/>
        <w:rPr>
          <w:b/>
          <w:bCs/>
          <w:i/>
          <w:iCs/>
        </w:rPr>
      </w:pPr>
      <w:r>
        <w:rPr>
          <w:b/>
          <w:bCs/>
          <w:i/>
          <w:iCs/>
        </w:rPr>
        <w:t>Основными конкурентами «</w:t>
      </w:r>
      <w:r>
        <w:rPr>
          <w:b/>
          <w:i/>
          <w:iCs/>
        </w:rPr>
        <w:t>Газпром-Медиа Холдинга»</w:t>
      </w:r>
      <w:r>
        <w:rPr>
          <w:b/>
          <w:bCs/>
          <w:i/>
          <w:iCs/>
        </w:rPr>
        <w:t xml:space="preserve"> на рынке онлайн-платформ являются крупнейшие сервисы, предоставляющие возможность просмотра на платной и бесплатной (рекламной) моделях. В</w:t>
      </w:r>
      <w:r>
        <w:rPr>
          <w:b/>
          <w:bCs/>
          <w:i/>
          <w:iCs/>
          <w:lang w:val="en-US"/>
        </w:rPr>
        <w:t> </w:t>
      </w:r>
      <w:r>
        <w:rPr>
          <w:b/>
          <w:bCs/>
          <w:i/>
          <w:iCs/>
        </w:rPr>
        <w:t>их</w:t>
      </w:r>
      <w:r>
        <w:rPr>
          <w:b/>
          <w:bCs/>
          <w:i/>
          <w:iCs/>
          <w:lang w:val="en-US"/>
        </w:rPr>
        <w:t> </w:t>
      </w:r>
      <w:r>
        <w:rPr>
          <w:b/>
          <w:bCs/>
          <w:i/>
          <w:iCs/>
        </w:rPr>
        <w:t>число входят «Кинопоиск», «ОККО», «Винк», «ИВИ», «Кион».</w:t>
      </w:r>
    </w:p>
    <w:p w:rsidR="00A02ECF" w:rsidRDefault="006104A2">
      <w:pPr>
        <w:spacing w:before="120"/>
        <w:jc w:val="both"/>
      </w:pPr>
      <w:r>
        <w:t>Общая оценка результатов финансово-хозяйственной деятельности эмитента (группы эмитента) в данной отрасли. Указывается доля эмитента (группы эмитента) в объеме реализации аналогичной продукции иными предприятиями отрасли или иные фактические показатели, характеризующие положение эмитента (группы эмитента) в отрасли в целом.</w:t>
      </w:r>
    </w:p>
    <w:p w:rsidR="00A02ECF" w:rsidRDefault="006104A2">
      <w:pPr>
        <w:spacing w:before="120" w:after="0"/>
        <w:rPr>
          <w:b/>
          <w:bCs/>
          <w:sz w:val="22"/>
          <w:szCs w:val="22"/>
        </w:rPr>
      </w:pPr>
      <w:bookmarkStart w:id="47" w:name="_Hlk166513318"/>
      <w:r>
        <w:rPr>
          <w:b/>
          <w:bCs/>
          <w:color w:val="000000"/>
          <w:sz w:val="22"/>
          <w:szCs w:val="22"/>
        </w:rPr>
        <w:t xml:space="preserve">Позиции Группы Газпром </w:t>
      </w:r>
      <w:r>
        <w:rPr>
          <w:b/>
          <w:bCs/>
          <w:sz w:val="22"/>
          <w:szCs w:val="22"/>
        </w:rPr>
        <w:t>в мировой и российской энергетике</w:t>
      </w:r>
      <w:bookmarkEnd w:id="42"/>
      <w:r>
        <w:rPr>
          <w:b/>
          <w:bCs/>
          <w:sz w:val="22"/>
          <w:szCs w:val="22"/>
        </w:rPr>
        <w:t>.</w:t>
      </w:r>
    </w:p>
    <w:p w:rsidR="00A02ECF" w:rsidRDefault="006104A2">
      <w:pPr>
        <w:spacing w:before="120"/>
        <w:rPr>
          <w:b/>
          <w:u w:val="single"/>
        </w:rPr>
      </w:pPr>
      <w:bookmarkStart w:id="48" w:name="_Hlk191999909"/>
      <w:bookmarkEnd w:id="43"/>
      <w:bookmarkEnd w:id="44"/>
      <w:bookmarkEnd w:id="47"/>
      <w:r>
        <w:rPr>
          <w:b/>
          <w:u w:val="single"/>
        </w:rPr>
        <w:t>Запасы и добыча углеводородов.</w:t>
      </w:r>
    </w:p>
    <w:p w:rsidR="00A02ECF" w:rsidRDefault="006104A2">
      <w:pPr>
        <w:spacing w:before="60"/>
        <w:jc w:val="both"/>
        <w:rPr>
          <w:rFonts w:eastAsia="Calibri"/>
          <w:b/>
          <w:bCs/>
          <w:i/>
          <w:iCs/>
        </w:rPr>
      </w:pPr>
      <w:r>
        <w:rPr>
          <w:rFonts w:eastAsia="Calibri"/>
          <w:b/>
          <w:bCs/>
          <w:i/>
          <w:iCs/>
        </w:rPr>
        <w:t>1-е место в мире по объемам разведанных запасов природного газа.</w:t>
      </w:r>
    </w:p>
    <w:p w:rsidR="00A02ECF" w:rsidRDefault="006104A2">
      <w:pPr>
        <w:spacing w:before="60"/>
        <w:jc w:val="both"/>
        <w:rPr>
          <w:rFonts w:eastAsia="Calibri"/>
          <w:b/>
          <w:bCs/>
          <w:i/>
          <w:iCs/>
        </w:rPr>
      </w:pPr>
      <w:r>
        <w:rPr>
          <w:rFonts w:eastAsia="Calibri"/>
          <w:b/>
          <w:bCs/>
          <w:i/>
          <w:iCs/>
        </w:rPr>
        <w:t>1-е место в мире по объемам добычи газа.</w:t>
      </w:r>
    </w:p>
    <w:p w:rsidR="00A02ECF" w:rsidRDefault="006104A2">
      <w:pPr>
        <w:spacing w:before="60"/>
        <w:jc w:val="both"/>
        <w:rPr>
          <w:rFonts w:eastAsia="Calibri"/>
          <w:b/>
          <w:bCs/>
          <w:i/>
          <w:iCs/>
        </w:rPr>
      </w:pPr>
      <w:r>
        <w:rPr>
          <w:rFonts w:eastAsia="Calibri"/>
          <w:b/>
          <w:bCs/>
          <w:i/>
          <w:iCs/>
        </w:rPr>
        <w:t>2-е место в России по объемам добычи нефти и газового конденсата (с учетом доли в добыче нефти и газового конденсата ассоциированными организациями и совместными предприятиями).</w:t>
      </w:r>
    </w:p>
    <w:p w:rsidR="00A02ECF" w:rsidRDefault="006104A2">
      <w:pPr>
        <w:spacing w:before="240" w:after="120"/>
        <w:rPr>
          <w:b/>
          <w:u w:val="single"/>
        </w:rPr>
      </w:pPr>
      <w:r>
        <w:rPr>
          <w:b/>
          <w:u w:val="single"/>
        </w:rPr>
        <w:t>Переработка углеводородов.</w:t>
      </w:r>
    </w:p>
    <w:p w:rsidR="00A02ECF" w:rsidRDefault="006104A2">
      <w:pPr>
        <w:spacing w:before="60"/>
        <w:jc w:val="both"/>
        <w:rPr>
          <w:rFonts w:eastAsia="Calibri"/>
          <w:b/>
          <w:bCs/>
          <w:i/>
          <w:iCs/>
        </w:rPr>
      </w:pPr>
      <w:r>
        <w:rPr>
          <w:rFonts w:eastAsia="Calibri"/>
          <w:b/>
          <w:bCs/>
          <w:i/>
          <w:iCs/>
        </w:rPr>
        <w:t>1-е место в России по объемам переработки газа.</w:t>
      </w:r>
    </w:p>
    <w:p w:rsidR="00A02ECF" w:rsidRDefault="006104A2">
      <w:pPr>
        <w:spacing w:before="60"/>
        <w:jc w:val="both"/>
        <w:rPr>
          <w:rFonts w:eastAsia="Calibri"/>
          <w:b/>
          <w:bCs/>
          <w:i/>
          <w:iCs/>
        </w:rPr>
      </w:pPr>
      <w:r>
        <w:rPr>
          <w:rFonts w:eastAsia="Calibri"/>
          <w:b/>
          <w:bCs/>
          <w:i/>
          <w:iCs/>
        </w:rPr>
        <w:t>2-е место в России по объемам первичной переработки нефти и стабильного газового конденсата.</w:t>
      </w:r>
    </w:p>
    <w:p w:rsidR="00A02ECF" w:rsidRDefault="006104A2">
      <w:pPr>
        <w:spacing w:before="240" w:after="120"/>
        <w:rPr>
          <w:b/>
          <w:u w:val="single"/>
        </w:rPr>
      </w:pPr>
      <w:r>
        <w:rPr>
          <w:b/>
          <w:u w:val="single"/>
        </w:rPr>
        <w:t>Транспортировка газа.</w:t>
      </w:r>
    </w:p>
    <w:p w:rsidR="00A02ECF" w:rsidRDefault="006104A2">
      <w:pPr>
        <w:spacing w:before="60"/>
        <w:jc w:val="both"/>
        <w:rPr>
          <w:rFonts w:eastAsia="Calibri"/>
          <w:b/>
          <w:bCs/>
          <w:i/>
          <w:iCs/>
        </w:rPr>
      </w:pPr>
      <w:r>
        <w:rPr>
          <w:rFonts w:eastAsia="Calibri"/>
          <w:b/>
          <w:bCs/>
          <w:i/>
          <w:iCs/>
        </w:rPr>
        <w:t>1-е место в мире по протяженности газотранспортной системы (ГТС).</w:t>
      </w:r>
    </w:p>
    <w:p w:rsidR="00A02ECF" w:rsidRDefault="006104A2">
      <w:pPr>
        <w:spacing w:before="60"/>
        <w:jc w:val="both"/>
        <w:rPr>
          <w:rFonts w:eastAsia="Calibri"/>
          <w:b/>
          <w:bCs/>
          <w:i/>
          <w:iCs/>
        </w:rPr>
      </w:pPr>
      <w:r>
        <w:rPr>
          <w:rFonts w:eastAsia="Calibri"/>
          <w:b/>
          <w:bCs/>
          <w:i/>
          <w:iCs/>
        </w:rPr>
        <w:t>1-е место в мире по активной емкости ПХГ и максимальной суточной производительности ПХГ.</w:t>
      </w:r>
    </w:p>
    <w:p w:rsidR="00A02ECF" w:rsidRDefault="006104A2">
      <w:pPr>
        <w:spacing w:before="240" w:after="120"/>
        <w:jc w:val="both"/>
        <w:rPr>
          <w:rFonts w:eastAsia="Calibri"/>
          <w:b/>
          <w:bCs/>
          <w:i/>
          <w:u w:val="single"/>
        </w:rPr>
      </w:pPr>
      <w:r>
        <w:rPr>
          <w:rFonts w:eastAsiaTheme="majorEastAsia"/>
          <w:b/>
          <w:bCs/>
          <w:u w:val="single"/>
        </w:rPr>
        <w:t>Реализация газа.</w:t>
      </w:r>
    </w:p>
    <w:p w:rsidR="00A02ECF" w:rsidRDefault="006104A2">
      <w:pPr>
        <w:spacing w:before="60" w:after="60"/>
        <w:rPr>
          <w:b/>
          <w:i/>
        </w:rPr>
      </w:pPr>
      <w:r>
        <w:rPr>
          <w:b/>
          <w:i/>
        </w:rPr>
        <w:t>1-е место в мире по объемам реализации газа, в том числе на экспорт.</w:t>
      </w:r>
    </w:p>
    <w:p w:rsidR="00A02ECF" w:rsidRDefault="006104A2">
      <w:pPr>
        <w:spacing w:before="60" w:after="60"/>
        <w:rPr>
          <w:b/>
          <w:i/>
        </w:rPr>
      </w:pPr>
      <w:r>
        <w:rPr>
          <w:b/>
          <w:i/>
        </w:rPr>
        <w:t>1-е место в России по объемам реализации газа.</w:t>
      </w:r>
    </w:p>
    <w:p w:rsidR="00A02ECF" w:rsidRDefault="006104A2">
      <w:pPr>
        <w:rPr>
          <w:b/>
          <w:i/>
        </w:rPr>
      </w:pPr>
      <w:r>
        <w:rPr>
          <w:b/>
          <w:i/>
        </w:rPr>
        <w:t>1-е место в мире по поставкам газа в Китай.</w:t>
      </w:r>
    </w:p>
    <w:p w:rsidR="00A02ECF" w:rsidRDefault="006104A2">
      <w:pPr>
        <w:spacing w:before="240" w:after="120"/>
        <w:rPr>
          <w:b/>
          <w:u w:val="single"/>
        </w:rPr>
      </w:pPr>
      <w:r>
        <w:rPr>
          <w:b/>
          <w:u w:val="single"/>
        </w:rPr>
        <w:t>Производство электрической и тепловой энергии.</w:t>
      </w:r>
    </w:p>
    <w:p w:rsidR="00A02ECF" w:rsidRDefault="006104A2">
      <w:pPr>
        <w:spacing w:before="60"/>
        <w:jc w:val="both"/>
        <w:rPr>
          <w:rFonts w:eastAsia="Calibri"/>
          <w:b/>
          <w:bCs/>
          <w:i/>
          <w:iCs/>
        </w:rPr>
      </w:pPr>
      <w:r>
        <w:rPr>
          <w:rFonts w:eastAsia="Calibri"/>
          <w:b/>
          <w:bCs/>
          <w:i/>
          <w:iCs/>
        </w:rPr>
        <w:t>1-е место в России по установленной тепловой мощности.</w:t>
      </w:r>
    </w:p>
    <w:p w:rsidR="00A02ECF" w:rsidRDefault="006104A2">
      <w:pPr>
        <w:spacing w:before="60"/>
        <w:jc w:val="both"/>
        <w:rPr>
          <w:rFonts w:eastAsia="Calibri"/>
          <w:b/>
          <w:bCs/>
          <w:i/>
          <w:iCs/>
        </w:rPr>
      </w:pPr>
      <w:r>
        <w:rPr>
          <w:rFonts w:eastAsia="Calibri"/>
          <w:b/>
          <w:bCs/>
          <w:i/>
          <w:iCs/>
        </w:rPr>
        <w:t>1-е место в России по производству тепловой энергии.</w:t>
      </w:r>
    </w:p>
    <w:p w:rsidR="00A02ECF" w:rsidRDefault="006104A2">
      <w:pPr>
        <w:spacing w:before="60"/>
        <w:jc w:val="both"/>
        <w:rPr>
          <w:rFonts w:eastAsia="Calibri"/>
          <w:b/>
          <w:bCs/>
          <w:i/>
          <w:iCs/>
        </w:rPr>
      </w:pPr>
      <w:r>
        <w:rPr>
          <w:rFonts w:eastAsia="Calibri"/>
          <w:b/>
          <w:bCs/>
          <w:i/>
          <w:iCs/>
        </w:rPr>
        <w:t>2-е место в России по установленной электрической мощности.</w:t>
      </w:r>
    </w:p>
    <w:p w:rsidR="00A02ECF" w:rsidRDefault="006104A2">
      <w:pPr>
        <w:spacing w:before="60"/>
        <w:jc w:val="both"/>
        <w:rPr>
          <w:rFonts w:eastAsia="Calibri"/>
          <w:b/>
          <w:bCs/>
          <w:i/>
          <w:iCs/>
        </w:rPr>
      </w:pPr>
      <w:r>
        <w:rPr>
          <w:rFonts w:eastAsia="Calibri"/>
          <w:b/>
          <w:bCs/>
          <w:i/>
          <w:iCs/>
        </w:rPr>
        <w:t>1-е место в России по выработке электрической энергии в тепловой генерации.</w:t>
      </w:r>
    </w:p>
    <w:p w:rsidR="00A02ECF" w:rsidRDefault="006104A2">
      <w:pPr>
        <w:spacing w:before="240"/>
        <w:jc w:val="both"/>
        <w:rPr>
          <w:b/>
          <w:bCs/>
          <w:sz w:val="22"/>
          <w:szCs w:val="22"/>
        </w:rPr>
      </w:pPr>
      <w:r>
        <w:rPr>
          <w:b/>
          <w:bCs/>
          <w:sz w:val="22"/>
          <w:szCs w:val="22"/>
        </w:rPr>
        <w:t xml:space="preserve">Позиции Группы Газпром в российской медиаотрасли. </w:t>
      </w:r>
    </w:p>
    <w:p w:rsidR="00A02ECF" w:rsidRDefault="006104A2">
      <w:pPr>
        <w:spacing w:before="120"/>
        <w:jc w:val="both"/>
        <w:rPr>
          <w:b/>
          <w:u w:val="single"/>
        </w:rPr>
      </w:pPr>
      <w:r>
        <w:rPr>
          <w:b/>
          <w:u w:val="single"/>
        </w:rPr>
        <w:t>Телевещание.</w:t>
      </w:r>
    </w:p>
    <w:p w:rsidR="00A02ECF" w:rsidRDefault="006104A2">
      <w:pPr>
        <w:spacing w:before="60"/>
        <w:jc w:val="both"/>
        <w:rPr>
          <w:b/>
          <w:i/>
          <w:iCs/>
        </w:rPr>
      </w:pPr>
      <w:r>
        <w:rPr>
          <w:b/>
          <w:i/>
          <w:iCs/>
        </w:rPr>
        <w:t xml:space="preserve">1-е место по доле телевизионной аудитории 14-44 лет в Российской Федерации. </w:t>
      </w:r>
    </w:p>
    <w:p w:rsidR="00A02ECF" w:rsidRDefault="006104A2">
      <w:pPr>
        <w:spacing w:before="120"/>
        <w:jc w:val="both"/>
        <w:rPr>
          <w:b/>
          <w:u w:val="single"/>
        </w:rPr>
      </w:pPr>
      <w:r>
        <w:rPr>
          <w:b/>
          <w:u w:val="single"/>
        </w:rPr>
        <w:t>Радиовещание.</w:t>
      </w:r>
    </w:p>
    <w:p w:rsidR="00A02ECF" w:rsidRDefault="006104A2">
      <w:pPr>
        <w:spacing w:before="60"/>
        <w:jc w:val="both"/>
        <w:rPr>
          <w:b/>
          <w:i/>
          <w:iCs/>
        </w:rPr>
      </w:pPr>
      <w:r>
        <w:rPr>
          <w:b/>
          <w:i/>
          <w:iCs/>
        </w:rPr>
        <w:t>2-е место по охвату ежедневной аудитории и доле на рынке в аудитории старше 12 лет в Российской Федерации в городах с населением более 100 тыс. человек, первое место в Москве.</w:t>
      </w:r>
    </w:p>
    <w:p w:rsidR="00A02ECF" w:rsidRDefault="006104A2">
      <w:pPr>
        <w:spacing w:before="120"/>
        <w:jc w:val="both"/>
        <w:rPr>
          <w:b/>
          <w:u w:val="single"/>
        </w:rPr>
      </w:pPr>
      <w:r>
        <w:rPr>
          <w:b/>
          <w:u w:val="single"/>
        </w:rPr>
        <w:lastRenderedPageBreak/>
        <w:t>Распространение контента.</w:t>
      </w:r>
    </w:p>
    <w:p w:rsidR="00A02ECF" w:rsidRDefault="006104A2">
      <w:pPr>
        <w:spacing w:before="60"/>
        <w:jc w:val="both"/>
        <w:rPr>
          <w:b/>
          <w:i/>
          <w:iCs/>
        </w:rPr>
      </w:pPr>
      <w:r>
        <w:rPr>
          <w:b/>
          <w:i/>
          <w:iCs/>
        </w:rPr>
        <w:t>1-е место по объему кинотеатральных сборов среди прокатчиков полнометражной кинопродукции в Российской Федерации.</w:t>
      </w:r>
    </w:p>
    <w:p w:rsidR="00A02ECF" w:rsidRDefault="006104A2">
      <w:pPr>
        <w:spacing w:before="60"/>
        <w:jc w:val="both"/>
        <w:rPr>
          <w:b/>
          <w:i/>
          <w:iCs/>
        </w:rPr>
      </w:pPr>
      <w:r>
        <w:rPr>
          <w:b/>
          <w:i/>
          <w:iCs/>
        </w:rPr>
        <w:t>3-е место по количеству оригинальных фильмов и сериалов, произведенных онлайн-платформами в 2025 году.</w:t>
      </w:r>
    </w:p>
    <w:p w:rsidR="00A02ECF" w:rsidRDefault="006104A2">
      <w:pPr>
        <w:spacing w:before="120"/>
        <w:jc w:val="both"/>
        <w:rPr>
          <w:b/>
        </w:rPr>
      </w:pPr>
      <w:r>
        <w:rPr>
          <w:b/>
          <w:u w:val="single"/>
        </w:rPr>
        <w:t>Рынок онлайн-платформ.</w:t>
      </w:r>
    </w:p>
    <w:p w:rsidR="00A02ECF" w:rsidRDefault="006104A2">
      <w:pPr>
        <w:spacing w:before="60"/>
        <w:jc w:val="both"/>
        <w:rPr>
          <w:b/>
          <w:bCs/>
          <w:i/>
          <w:iCs/>
        </w:rPr>
      </w:pPr>
      <w:r>
        <w:rPr>
          <w:b/>
          <w:i/>
          <w:iCs/>
        </w:rPr>
        <w:t>7-е место в аудитории старше 12 лет в Российской Федерации среди холдингов с медиаактивами.</w:t>
      </w:r>
    </w:p>
    <w:p w:rsidR="00A02ECF" w:rsidRDefault="006104A2">
      <w:pPr>
        <w:spacing w:before="240"/>
        <w:jc w:val="both"/>
      </w:pPr>
      <w:r>
        <w:t xml:space="preserve">Оценка соответствия результатов деятельности эмитента (группы эмитента) тенденциям развития отрасли. Указываются причины, обосновывающие полученные результаты деятельности (удовлетворительные и неудовлетворительные, по мнению эмитента, результаты). </w:t>
      </w:r>
    </w:p>
    <w:p w:rsidR="00A02ECF" w:rsidRDefault="006104A2">
      <w:pPr>
        <w:spacing w:before="120"/>
        <w:jc w:val="both"/>
        <w:rPr>
          <w:b/>
          <w:bCs/>
          <w:i/>
          <w:iCs/>
        </w:rPr>
      </w:pPr>
      <w:bookmarkStart w:id="49" w:name="_Hlk175566839"/>
      <w:bookmarkStart w:id="50" w:name="_Hlk176253264"/>
      <w:bookmarkStart w:id="51" w:name="_Hlk184901851"/>
      <w:bookmarkEnd w:id="11"/>
      <w:bookmarkEnd w:id="48"/>
      <w:r>
        <w:rPr>
          <w:b/>
          <w:i/>
        </w:rPr>
        <w:t xml:space="preserve">Результаты деятельности </w:t>
      </w:r>
      <w:r>
        <w:rPr>
          <w:b/>
          <w:bCs/>
          <w:i/>
          <w:iCs/>
        </w:rPr>
        <w:t xml:space="preserve">Группы Газпром оцениваются как удовлетворительные. Среди основных причин, обосновывающих полученные результаты деятельности – эффективное стратегическое планирование, своевременная оценка потенциальных рисков, полноценная оценка отрасли с учетом анализа ретроспективных данных и прогнозных показателей, взвешенный подход к оценке финансовых возможностей и активная работа по привлечению внешнего финансирования. </w:t>
      </w:r>
      <w:bookmarkEnd w:id="12"/>
    </w:p>
    <w:p w:rsidR="00A02ECF" w:rsidRDefault="00A02ECF"/>
    <w:p w:rsidR="00A02ECF" w:rsidRDefault="00A02ECF"/>
    <w:p w:rsidR="00A02ECF" w:rsidRDefault="006104A2">
      <w:pPr>
        <w:pStyle w:val="2"/>
        <w:rPr>
          <w:color w:val="000000"/>
        </w:rPr>
      </w:pPr>
      <w:bookmarkStart w:id="52" w:name="_Toc230104293"/>
      <w:bookmarkStart w:id="53" w:name="_Hlk219719551"/>
      <w:r>
        <w:rPr>
          <w:color w:val="000000"/>
        </w:rPr>
        <w:t>1.3. Основные операционные показатели, характеризующие деятельность эмитента</w:t>
      </w:r>
      <w:bookmarkEnd w:id="49"/>
      <w:bookmarkEnd w:id="52"/>
    </w:p>
    <w:p w:rsidR="00A02ECF" w:rsidRDefault="006104A2">
      <w:pPr>
        <w:spacing w:before="120"/>
        <w:rPr>
          <w:b/>
          <w:bCs/>
          <w:u w:val="single"/>
        </w:rPr>
      </w:pPr>
      <w:bookmarkStart w:id="54" w:name="_Hlk197512905"/>
      <w:bookmarkEnd w:id="50"/>
      <w:r>
        <w:rPr>
          <w:b/>
          <w:bCs/>
          <w:u w:val="single"/>
        </w:rPr>
        <w:t>Разведка и добыча газа; Добыча нефти и газового конденсата</w:t>
      </w:r>
      <w:bookmarkEnd w:id="51"/>
    </w:p>
    <w:p w:rsidR="00A02ECF" w:rsidRDefault="006104A2">
      <w:pPr>
        <w:spacing w:before="120"/>
        <w:rPr>
          <w:b/>
        </w:rPr>
      </w:pPr>
      <w:r>
        <w:rPr>
          <w:b/>
        </w:rPr>
        <w:t xml:space="preserve">Запасы </w:t>
      </w:r>
    </w:p>
    <w:p w:rsidR="00A02ECF" w:rsidRDefault="006104A2">
      <w:pPr>
        <w:spacing w:before="60"/>
        <w:jc w:val="both"/>
        <w:rPr>
          <w:b/>
          <w:bCs/>
          <w:i/>
          <w:iCs/>
        </w:rPr>
      </w:pPr>
      <w:bookmarkStart w:id="55" w:name="_Hlk102544529"/>
      <w:bookmarkStart w:id="56" w:name="_Hlk102544556"/>
      <w:bookmarkStart w:id="57" w:name="_Hlk132375317"/>
      <w:bookmarkStart w:id="58" w:name="_Hlk167177169"/>
      <w:r>
        <w:rPr>
          <w:b/>
          <w:bCs/>
          <w:i/>
          <w:iCs/>
        </w:rPr>
        <w:t>Последовательное восполнение собственной минерально-сырьевой базы — одна из ключевых стратегических задач Группы Газпром. Из года в год Компания успешно ее решает, прежде всего, за счет проведения масштабных ГРР.</w:t>
      </w:r>
    </w:p>
    <w:p w:rsidR="00A02ECF" w:rsidRDefault="006104A2">
      <w:pPr>
        <w:spacing w:before="60"/>
        <w:jc w:val="both"/>
        <w:rPr>
          <w:b/>
          <w:bCs/>
          <w:i/>
          <w:iCs/>
        </w:rPr>
      </w:pPr>
      <w:r>
        <w:rPr>
          <w:b/>
          <w:bCs/>
          <w:i/>
          <w:iCs/>
        </w:rPr>
        <w:t>Основные запасы углеводородов Группы сосредоточены на ее лицензионных участках на территории России.</w:t>
      </w:r>
    </w:p>
    <w:p w:rsidR="00A02ECF" w:rsidRDefault="006104A2">
      <w:pPr>
        <w:spacing w:before="60"/>
        <w:jc w:val="both"/>
        <w:rPr>
          <w:b/>
          <w:bCs/>
          <w:i/>
          <w:iCs/>
        </w:rPr>
      </w:pPr>
      <w:r>
        <w:rPr>
          <w:b/>
          <w:bCs/>
          <w:i/>
          <w:iCs/>
        </w:rPr>
        <w:t xml:space="preserve">Группа Газпром по состоянию на 31 декабря 2025 года на территории Российской Федерации владела </w:t>
      </w:r>
      <w:r>
        <w:rPr>
          <w:rFonts w:eastAsia="Calibri"/>
          <w:b/>
          <w:bCs/>
          <w:i/>
          <w:iCs/>
          <w:color w:val="000000"/>
        </w:rPr>
        <w:t>340</w:t>
      </w:r>
      <w:r>
        <w:rPr>
          <w:b/>
          <w:bCs/>
          <w:i/>
          <w:iCs/>
        </w:rPr>
        <w:t xml:space="preserve"> лицензиями на пользование участками недр с целью геологического изучения, разведки и добычи углеводородного сырья. Эти участки занимают площадь </w:t>
      </w:r>
      <w:r>
        <w:rPr>
          <w:rFonts w:eastAsia="Calibri"/>
          <w:b/>
          <w:bCs/>
          <w:i/>
          <w:iCs/>
          <w:color w:val="000000"/>
        </w:rPr>
        <w:t>655,8</w:t>
      </w:r>
      <w:r>
        <w:rPr>
          <w:rFonts w:eastAsia="Calibri"/>
          <w:b/>
          <w:bCs/>
          <w:color w:val="000000"/>
        </w:rPr>
        <w:t xml:space="preserve"> </w:t>
      </w:r>
      <w:r>
        <w:rPr>
          <w:b/>
          <w:bCs/>
          <w:i/>
          <w:iCs/>
        </w:rPr>
        <w:t xml:space="preserve">тыс. кв. км. Кроме того, организациям, инвестиции в которые классифицированы как совместные операции, принадлежало </w:t>
      </w:r>
      <w:r>
        <w:rPr>
          <w:rFonts w:eastAsia="Calibri"/>
          <w:b/>
          <w:bCs/>
          <w:i/>
          <w:iCs/>
          <w:color w:val="000000"/>
        </w:rPr>
        <w:t>4</w:t>
      </w:r>
      <w:r>
        <w:rPr>
          <w:b/>
          <w:bCs/>
          <w:i/>
          <w:iCs/>
        </w:rPr>
        <w:t xml:space="preserve"> лицензии на участки площадью </w:t>
      </w:r>
      <w:r>
        <w:rPr>
          <w:rFonts w:eastAsia="Calibri"/>
          <w:b/>
          <w:bCs/>
          <w:i/>
          <w:iCs/>
          <w:color w:val="000000"/>
        </w:rPr>
        <w:t>2,7</w:t>
      </w:r>
      <w:r>
        <w:rPr>
          <w:b/>
          <w:bCs/>
          <w:i/>
          <w:iCs/>
        </w:rPr>
        <w:t xml:space="preserve"> тыс. кв. км.</w:t>
      </w:r>
    </w:p>
    <w:p w:rsidR="00A02ECF" w:rsidRDefault="006104A2">
      <w:pPr>
        <w:spacing w:before="120" w:after="60"/>
        <w:rPr>
          <w:b/>
          <w:bCs/>
        </w:rPr>
      </w:pPr>
      <w:r>
        <w:rPr>
          <w:rFonts w:eastAsia="Calibri"/>
          <w:b/>
          <w:bCs/>
        </w:rPr>
        <w:t>Запасы углеводородов категорий А+В</w:t>
      </w:r>
      <w:r>
        <w:rPr>
          <w:rFonts w:eastAsia="Calibri"/>
          <w:b/>
          <w:bCs/>
          <w:vertAlign w:val="subscript"/>
        </w:rPr>
        <w:t>1</w:t>
      </w:r>
      <w:r>
        <w:rPr>
          <w:rFonts w:eastAsia="Calibri"/>
          <w:b/>
          <w:bCs/>
        </w:rPr>
        <w:t>+С</w:t>
      </w:r>
      <w:r>
        <w:rPr>
          <w:rFonts w:eastAsia="Calibri"/>
          <w:b/>
          <w:bCs/>
          <w:vertAlign w:val="subscript"/>
        </w:rPr>
        <w:t>1</w:t>
      </w:r>
      <w:r>
        <w:rPr>
          <w:rFonts w:eastAsia="Calibri"/>
          <w:b/>
          <w:bCs/>
        </w:rPr>
        <w:t xml:space="preserve"> на территории Российской Федерации </w:t>
      </w:r>
    </w:p>
    <w:tbl>
      <w:tblPr>
        <w:tblW w:w="910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34"/>
        <w:gridCol w:w="1522"/>
        <w:gridCol w:w="1560"/>
        <w:gridCol w:w="1701"/>
        <w:gridCol w:w="1985"/>
      </w:tblGrid>
      <w:tr w:rsidR="00A02ECF">
        <w:tc>
          <w:tcPr>
            <w:tcW w:w="2334" w:type="dxa"/>
            <w:vAlign w:val="center"/>
          </w:tcPr>
          <w:p w:rsidR="00A02ECF" w:rsidRDefault="00A02ECF">
            <w:pPr>
              <w:jc w:val="center"/>
              <w:rPr>
                <w:rFonts w:eastAsia="Calibri"/>
                <w:highlight w:val="yellow"/>
              </w:rPr>
            </w:pPr>
          </w:p>
        </w:tc>
        <w:tc>
          <w:tcPr>
            <w:tcW w:w="1522" w:type="dxa"/>
            <w:vAlign w:val="center"/>
          </w:tcPr>
          <w:p w:rsidR="00A02ECF" w:rsidRDefault="006104A2">
            <w:pPr>
              <w:jc w:val="center"/>
              <w:rPr>
                <w:rFonts w:eastAsia="Calibri"/>
                <w:b/>
                <w:highlight w:val="yellow"/>
              </w:rPr>
            </w:pPr>
            <w:r>
              <w:rPr>
                <w:rFonts w:eastAsia="Calibri"/>
                <w:b/>
              </w:rPr>
              <w:t>Единицы измерения</w:t>
            </w:r>
          </w:p>
        </w:tc>
        <w:tc>
          <w:tcPr>
            <w:tcW w:w="1560" w:type="dxa"/>
            <w:vAlign w:val="center"/>
          </w:tcPr>
          <w:p w:rsidR="00A02ECF" w:rsidRDefault="006104A2">
            <w:pPr>
              <w:jc w:val="center"/>
              <w:rPr>
                <w:rFonts w:eastAsia="Calibri"/>
              </w:rPr>
            </w:pPr>
            <w:r>
              <w:rPr>
                <w:rFonts w:eastAsia="Calibri"/>
                <w:b/>
                <w:color w:val="000000"/>
              </w:rPr>
              <w:t>на 31.12.2024</w:t>
            </w:r>
          </w:p>
        </w:tc>
        <w:tc>
          <w:tcPr>
            <w:tcW w:w="1701" w:type="dxa"/>
            <w:vAlign w:val="center"/>
          </w:tcPr>
          <w:p w:rsidR="00A02ECF" w:rsidRDefault="006104A2">
            <w:pPr>
              <w:jc w:val="center"/>
              <w:rPr>
                <w:rFonts w:eastAsia="Calibri"/>
              </w:rPr>
            </w:pPr>
            <w:r>
              <w:rPr>
                <w:rFonts w:eastAsia="Calibri"/>
                <w:b/>
                <w:color w:val="000000"/>
              </w:rPr>
              <w:t>на 31.12.2025</w:t>
            </w:r>
          </w:p>
        </w:tc>
        <w:tc>
          <w:tcPr>
            <w:tcW w:w="1985" w:type="dxa"/>
            <w:vAlign w:val="center"/>
          </w:tcPr>
          <w:p w:rsidR="00A02ECF" w:rsidRDefault="006104A2">
            <w:pPr>
              <w:keepNext/>
              <w:keepLines/>
              <w:jc w:val="center"/>
              <w:rPr>
                <w:rFonts w:eastAsia="Calibri"/>
                <w:b/>
              </w:rPr>
            </w:pPr>
            <w:r>
              <w:rPr>
                <w:rFonts w:eastAsia="Calibri"/>
                <w:b/>
              </w:rPr>
              <w:t>Изменение</w:t>
            </w:r>
          </w:p>
          <w:p w:rsidR="00A02ECF" w:rsidRDefault="006104A2">
            <w:pPr>
              <w:keepNext/>
              <w:keepLines/>
              <w:jc w:val="center"/>
              <w:rPr>
                <w:rFonts w:eastAsia="Calibri"/>
              </w:rPr>
            </w:pPr>
            <w:r>
              <w:rPr>
                <w:rFonts w:eastAsia="Calibri"/>
                <w:b/>
              </w:rPr>
              <w:t>(в абсолютном выражении)</w:t>
            </w:r>
          </w:p>
        </w:tc>
      </w:tr>
      <w:tr w:rsidR="00A02ECF">
        <w:tc>
          <w:tcPr>
            <w:tcW w:w="2334" w:type="dxa"/>
          </w:tcPr>
          <w:p w:rsidR="00A02ECF" w:rsidRDefault="006104A2">
            <w:pPr>
              <w:rPr>
                <w:rFonts w:eastAsia="Calibri"/>
              </w:rPr>
            </w:pPr>
            <w:r>
              <w:rPr>
                <w:rFonts w:eastAsia="Calibri"/>
              </w:rPr>
              <w:t>Природный газ</w:t>
            </w:r>
          </w:p>
        </w:tc>
        <w:tc>
          <w:tcPr>
            <w:tcW w:w="1522" w:type="dxa"/>
          </w:tcPr>
          <w:p w:rsidR="00A02ECF" w:rsidRDefault="006104A2">
            <w:pPr>
              <w:rPr>
                <w:rFonts w:eastAsia="Calibri"/>
              </w:rPr>
            </w:pPr>
            <w:r>
              <w:rPr>
                <w:rFonts w:eastAsia="Calibri"/>
              </w:rPr>
              <w:t>млрд куб. м</w:t>
            </w:r>
          </w:p>
        </w:tc>
        <w:tc>
          <w:tcPr>
            <w:tcW w:w="1560" w:type="dxa"/>
          </w:tcPr>
          <w:p w:rsidR="00A02ECF" w:rsidRDefault="006104A2">
            <w:pPr>
              <w:jc w:val="right"/>
              <w:rPr>
                <w:rFonts w:eastAsia="Calibri"/>
              </w:rPr>
            </w:pPr>
            <w:r>
              <w:rPr>
                <w:rFonts w:eastAsia="Calibri"/>
                <w:color w:val="000000"/>
              </w:rPr>
              <w:t>27 811,82</w:t>
            </w:r>
          </w:p>
        </w:tc>
        <w:tc>
          <w:tcPr>
            <w:tcW w:w="1701" w:type="dxa"/>
          </w:tcPr>
          <w:p w:rsidR="00A02ECF" w:rsidRDefault="006104A2">
            <w:pPr>
              <w:jc w:val="right"/>
              <w:rPr>
                <w:rFonts w:eastAsia="Calibri"/>
              </w:rPr>
            </w:pPr>
            <w:r>
              <w:rPr>
                <w:rFonts w:eastAsia="Calibri"/>
                <w:color w:val="000000"/>
              </w:rPr>
              <w:t>27 683,79</w:t>
            </w:r>
          </w:p>
        </w:tc>
        <w:tc>
          <w:tcPr>
            <w:tcW w:w="1985" w:type="dxa"/>
          </w:tcPr>
          <w:p w:rsidR="00A02ECF" w:rsidRDefault="006104A2">
            <w:pPr>
              <w:jc w:val="right"/>
              <w:rPr>
                <w:rFonts w:eastAsia="Calibri"/>
              </w:rPr>
            </w:pPr>
            <w:r>
              <w:rPr>
                <w:rFonts w:eastAsia="Calibri"/>
                <w:color w:val="000000"/>
              </w:rPr>
              <w:t>-128,03</w:t>
            </w:r>
          </w:p>
        </w:tc>
      </w:tr>
      <w:tr w:rsidR="00A02ECF">
        <w:tc>
          <w:tcPr>
            <w:tcW w:w="2334" w:type="dxa"/>
          </w:tcPr>
          <w:p w:rsidR="00A02ECF" w:rsidRDefault="006104A2">
            <w:pPr>
              <w:rPr>
                <w:rFonts w:eastAsia="Calibri"/>
              </w:rPr>
            </w:pPr>
            <w:r>
              <w:rPr>
                <w:rFonts w:eastAsia="Calibri"/>
              </w:rPr>
              <w:t>Газовый конденсат</w:t>
            </w:r>
          </w:p>
        </w:tc>
        <w:tc>
          <w:tcPr>
            <w:tcW w:w="1522" w:type="dxa"/>
          </w:tcPr>
          <w:p w:rsidR="00A02ECF" w:rsidRDefault="006104A2">
            <w:pPr>
              <w:rPr>
                <w:rFonts w:eastAsia="Calibri"/>
              </w:rPr>
            </w:pPr>
            <w:r>
              <w:rPr>
                <w:rFonts w:eastAsia="Calibri"/>
              </w:rPr>
              <w:t>млн т</w:t>
            </w:r>
          </w:p>
        </w:tc>
        <w:tc>
          <w:tcPr>
            <w:tcW w:w="1560" w:type="dxa"/>
          </w:tcPr>
          <w:p w:rsidR="00A02ECF" w:rsidRDefault="006104A2">
            <w:pPr>
              <w:jc w:val="right"/>
              <w:rPr>
                <w:rFonts w:eastAsia="Calibri"/>
              </w:rPr>
            </w:pPr>
            <w:r>
              <w:rPr>
                <w:rFonts w:eastAsia="Calibri"/>
                <w:color w:val="000000"/>
              </w:rPr>
              <w:t>1 242,37</w:t>
            </w:r>
          </w:p>
        </w:tc>
        <w:tc>
          <w:tcPr>
            <w:tcW w:w="1701" w:type="dxa"/>
          </w:tcPr>
          <w:p w:rsidR="00A02ECF" w:rsidRDefault="006104A2">
            <w:pPr>
              <w:jc w:val="right"/>
              <w:rPr>
                <w:rFonts w:eastAsia="Calibri"/>
              </w:rPr>
            </w:pPr>
            <w:r>
              <w:rPr>
                <w:rFonts w:eastAsia="Calibri"/>
                <w:color w:val="000000"/>
              </w:rPr>
              <w:t>1 208,24</w:t>
            </w:r>
          </w:p>
        </w:tc>
        <w:tc>
          <w:tcPr>
            <w:tcW w:w="1985" w:type="dxa"/>
          </w:tcPr>
          <w:p w:rsidR="00A02ECF" w:rsidRDefault="006104A2">
            <w:pPr>
              <w:jc w:val="right"/>
              <w:rPr>
                <w:rFonts w:eastAsia="Calibri"/>
              </w:rPr>
            </w:pPr>
            <w:r>
              <w:rPr>
                <w:rFonts w:eastAsia="Calibri"/>
                <w:color w:val="000000"/>
              </w:rPr>
              <w:t>-34,13</w:t>
            </w:r>
          </w:p>
        </w:tc>
      </w:tr>
      <w:tr w:rsidR="00A02ECF">
        <w:tc>
          <w:tcPr>
            <w:tcW w:w="2334" w:type="dxa"/>
          </w:tcPr>
          <w:p w:rsidR="00A02ECF" w:rsidRDefault="006104A2">
            <w:pPr>
              <w:rPr>
                <w:rFonts w:eastAsia="Calibri"/>
              </w:rPr>
            </w:pPr>
            <w:r>
              <w:rPr>
                <w:rFonts w:eastAsia="Calibri"/>
              </w:rPr>
              <w:t>Нефть</w:t>
            </w:r>
          </w:p>
        </w:tc>
        <w:tc>
          <w:tcPr>
            <w:tcW w:w="1522" w:type="dxa"/>
          </w:tcPr>
          <w:p w:rsidR="00A02ECF" w:rsidRDefault="006104A2">
            <w:pPr>
              <w:rPr>
                <w:rFonts w:eastAsia="Calibri"/>
              </w:rPr>
            </w:pPr>
            <w:r>
              <w:rPr>
                <w:rFonts w:eastAsia="Calibri"/>
              </w:rPr>
              <w:t>млн т</w:t>
            </w:r>
          </w:p>
        </w:tc>
        <w:tc>
          <w:tcPr>
            <w:tcW w:w="1560" w:type="dxa"/>
          </w:tcPr>
          <w:p w:rsidR="00A02ECF" w:rsidRDefault="006104A2">
            <w:pPr>
              <w:jc w:val="right"/>
              <w:rPr>
                <w:rFonts w:eastAsia="Calibri"/>
              </w:rPr>
            </w:pPr>
            <w:r>
              <w:rPr>
                <w:rFonts w:eastAsia="Calibri"/>
                <w:color w:val="000000"/>
              </w:rPr>
              <w:t>1 755,52</w:t>
            </w:r>
          </w:p>
        </w:tc>
        <w:tc>
          <w:tcPr>
            <w:tcW w:w="1701" w:type="dxa"/>
          </w:tcPr>
          <w:p w:rsidR="00A02ECF" w:rsidRDefault="006104A2">
            <w:pPr>
              <w:jc w:val="right"/>
              <w:rPr>
                <w:rFonts w:eastAsia="Calibri"/>
              </w:rPr>
            </w:pPr>
            <w:r>
              <w:rPr>
                <w:rFonts w:eastAsia="Calibri"/>
                <w:color w:val="000000"/>
              </w:rPr>
              <w:t>1 717,82</w:t>
            </w:r>
          </w:p>
        </w:tc>
        <w:tc>
          <w:tcPr>
            <w:tcW w:w="1985" w:type="dxa"/>
          </w:tcPr>
          <w:p w:rsidR="00A02ECF" w:rsidRDefault="006104A2">
            <w:pPr>
              <w:jc w:val="right"/>
              <w:rPr>
                <w:rFonts w:eastAsia="Calibri"/>
              </w:rPr>
            </w:pPr>
            <w:r>
              <w:rPr>
                <w:rFonts w:eastAsia="Calibri"/>
                <w:color w:val="000000"/>
              </w:rPr>
              <w:t>-37,70</w:t>
            </w:r>
            <w:bookmarkEnd w:id="54"/>
            <w:bookmarkEnd w:id="55"/>
          </w:p>
        </w:tc>
      </w:tr>
    </w:tbl>
    <w:p w:rsidR="00A02ECF" w:rsidRDefault="006104A2">
      <w:pPr>
        <w:spacing w:before="60"/>
        <w:jc w:val="both"/>
        <w:rPr>
          <w:rFonts w:eastAsia="Calibri"/>
          <w:b/>
          <w:bCs/>
          <w:i/>
          <w:iCs/>
        </w:rPr>
      </w:pPr>
      <w:r>
        <w:rPr>
          <w:rFonts w:eastAsia="Calibri"/>
          <w:b/>
          <w:bCs/>
          <w:i/>
          <w:iCs/>
        </w:rPr>
        <w:t>Суммарный объем запасов углеводородов Группы Газпром категорий А+В</w:t>
      </w:r>
      <w:r>
        <w:rPr>
          <w:rFonts w:eastAsia="Calibri"/>
          <w:b/>
          <w:bCs/>
          <w:i/>
          <w:iCs/>
          <w:vertAlign w:val="subscript"/>
        </w:rPr>
        <w:t>1</w:t>
      </w:r>
      <w:r>
        <w:rPr>
          <w:rFonts w:eastAsia="Calibri"/>
          <w:b/>
          <w:bCs/>
          <w:i/>
          <w:iCs/>
        </w:rPr>
        <w:t>+С</w:t>
      </w:r>
      <w:r>
        <w:rPr>
          <w:rFonts w:eastAsia="Calibri"/>
          <w:b/>
          <w:bCs/>
          <w:i/>
          <w:iCs/>
          <w:vertAlign w:val="subscript"/>
        </w:rPr>
        <w:t>1</w:t>
      </w:r>
      <w:r>
        <w:rPr>
          <w:rFonts w:eastAsia="Calibri"/>
          <w:b/>
          <w:bCs/>
          <w:i/>
          <w:iCs/>
        </w:rPr>
        <w:t xml:space="preserve"> составляет более </w:t>
      </w:r>
      <w:r>
        <w:rPr>
          <w:rFonts w:eastAsia="Calibri"/>
          <w:b/>
          <w:bCs/>
          <w:i/>
          <w:iCs/>
        </w:rPr>
        <w:br/>
      </w:r>
      <w:r>
        <w:rPr>
          <w:rFonts w:eastAsia="Calibri"/>
          <w:b/>
          <w:bCs/>
          <w:i/>
          <w:iCs/>
          <w:color w:val="000000"/>
        </w:rPr>
        <w:t>202</w:t>
      </w:r>
      <w:r>
        <w:rPr>
          <w:rFonts w:eastAsia="Calibri"/>
          <w:b/>
          <w:bCs/>
          <w:i/>
          <w:iCs/>
        </w:rPr>
        <w:t xml:space="preserve"> млрд барр. н. э. </w:t>
      </w:r>
    </w:p>
    <w:p w:rsidR="00A02ECF" w:rsidRDefault="00A02ECF">
      <w:pPr>
        <w:spacing w:before="0" w:after="0"/>
        <w:rPr>
          <w:b/>
          <w:i/>
          <w:u w:val="single"/>
        </w:rPr>
      </w:pPr>
    </w:p>
    <w:p w:rsidR="00A02ECF" w:rsidRDefault="006104A2">
      <w:pPr>
        <w:spacing w:before="60" w:after="0"/>
        <w:jc w:val="both"/>
        <w:rPr>
          <w:b/>
        </w:rPr>
      </w:pPr>
      <w:bookmarkStart w:id="59" w:name="_Hlk132375571"/>
      <w:r>
        <w:rPr>
          <w:b/>
        </w:rPr>
        <w:t>Факторы изменения запасов природного газа Группы Газпром на территории Российской Федерации по категориям </w:t>
      </w:r>
      <w:r>
        <w:rPr>
          <w:b/>
          <w:lang w:val="en-US"/>
        </w:rPr>
        <w:t>A</w:t>
      </w:r>
      <w:r>
        <w:rPr>
          <w:b/>
        </w:rPr>
        <w:t>+</w:t>
      </w:r>
      <w:r>
        <w:rPr>
          <w:b/>
          <w:lang w:val="en-US"/>
        </w:rPr>
        <w:t>B</w:t>
      </w:r>
      <w:r>
        <w:rPr>
          <w:b/>
          <w:vertAlign w:val="subscript"/>
        </w:rPr>
        <w:t>1</w:t>
      </w:r>
      <w:r>
        <w:rPr>
          <w:b/>
        </w:rPr>
        <w:t>+</w:t>
      </w:r>
      <w:r>
        <w:rPr>
          <w:b/>
          <w:lang w:val="en-US"/>
        </w:rPr>
        <w:t>C</w:t>
      </w:r>
      <w:r>
        <w:rPr>
          <w:b/>
          <w:vertAlign w:val="subscript"/>
        </w:rPr>
        <w:t>1</w:t>
      </w:r>
      <w:r>
        <w:rPr>
          <w:b/>
        </w:rPr>
        <w:t> в 2025 г.</w:t>
      </w:r>
      <w:bookmarkEnd w:id="56"/>
    </w:p>
    <w:p w:rsidR="00A02ECF" w:rsidRDefault="006104A2">
      <w:pPr>
        <w:spacing w:before="60" w:after="0"/>
        <w:jc w:val="right"/>
        <w:rPr>
          <w:b/>
        </w:rPr>
      </w:pPr>
      <w:r>
        <w:rPr>
          <w:b/>
        </w:rPr>
        <w:t>млрд куб. м</w:t>
      </w:r>
    </w:p>
    <w:tbl>
      <w:tblPr>
        <w:tblW w:w="909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16"/>
        <w:gridCol w:w="1515"/>
        <w:gridCol w:w="2166"/>
      </w:tblGrid>
      <w:tr w:rsidR="00A02ECF">
        <w:trPr>
          <w:tblHeader/>
        </w:trPr>
        <w:tc>
          <w:tcPr>
            <w:tcW w:w="5416" w:type="dxa"/>
            <w:tcBorders>
              <w:top w:val="single" w:sz="4" w:space="0" w:color="000000"/>
              <w:left w:val="single" w:sz="4" w:space="0" w:color="000000"/>
              <w:bottom w:val="single" w:sz="4" w:space="0" w:color="000000"/>
              <w:right w:val="single" w:sz="4" w:space="0" w:color="000000"/>
            </w:tcBorders>
          </w:tcPr>
          <w:p w:rsidR="00A02ECF" w:rsidRDefault="00A02ECF">
            <w:pPr>
              <w:spacing w:line="256" w:lineRule="auto"/>
            </w:pPr>
          </w:p>
        </w:tc>
        <w:tc>
          <w:tcPr>
            <w:tcW w:w="1515" w:type="dxa"/>
            <w:tcBorders>
              <w:top w:val="single" w:sz="4" w:space="0" w:color="000000"/>
              <w:left w:val="single" w:sz="4" w:space="0" w:color="000000"/>
              <w:bottom w:val="single" w:sz="4" w:space="0" w:color="000000"/>
              <w:right w:val="single" w:sz="4" w:space="0" w:color="000000"/>
            </w:tcBorders>
          </w:tcPr>
          <w:p w:rsidR="00A02ECF" w:rsidRDefault="006104A2">
            <w:pPr>
              <w:spacing w:line="256" w:lineRule="auto"/>
              <w:jc w:val="center"/>
              <w:rPr>
                <w:b/>
              </w:rPr>
            </w:pPr>
            <w:r>
              <w:rPr>
                <w:b/>
              </w:rPr>
              <w:t>Величина</w:t>
            </w:r>
          </w:p>
        </w:tc>
        <w:tc>
          <w:tcPr>
            <w:tcW w:w="2166" w:type="dxa"/>
            <w:tcBorders>
              <w:top w:val="single" w:sz="4" w:space="0" w:color="000000"/>
              <w:left w:val="single" w:sz="4" w:space="0" w:color="000000"/>
              <w:bottom w:val="single" w:sz="4" w:space="0" w:color="000000"/>
              <w:right w:val="single" w:sz="4" w:space="0" w:color="000000"/>
            </w:tcBorders>
          </w:tcPr>
          <w:p w:rsidR="00A02ECF" w:rsidRDefault="006104A2">
            <w:pPr>
              <w:spacing w:line="256" w:lineRule="auto"/>
              <w:jc w:val="center"/>
              <w:rPr>
                <w:b/>
              </w:rPr>
            </w:pPr>
            <w:r>
              <w:rPr>
                <w:b/>
              </w:rPr>
              <w:t>Влияние фактора</w:t>
            </w:r>
          </w:p>
        </w:tc>
      </w:tr>
      <w:tr w:rsidR="00A02ECF">
        <w:tc>
          <w:tcPr>
            <w:tcW w:w="5416" w:type="dxa"/>
            <w:tcBorders>
              <w:top w:val="single" w:sz="4" w:space="0" w:color="000000"/>
              <w:left w:val="single" w:sz="4" w:space="0" w:color="000000"/>
              <w:bottom w:val="single" w:sz="4" w:space="0" w:color="000000"/>
              <w:right w:val="single" w:sz="4" w:space="0" w:color="000000"/>
            </w:tcBorders>
          </w:tcPr>
          <w:p w:rsidR="00A02ECF" w:rsidRDefault="006104A2">
            <w:pPr>
              <w:spacing w:line="256" w:lineRule="auto"/>
            </w:pPr>
            <w:r>
              <w:t>Запасы природного газа по состоянию на 31.12.2024 г.</w:t>
            </w:r>
          </w:p>
        </w:tc>
        <w:tc>
          <w:tcPr>
            <w:tcW w:w="1515" w:type="dxa"/>
            <w:tcBorders>
              <w:top w:val="single" w:sz="4" w:space="0" w:color="000000"/>
              <w:left w:val="single" w:sz="4" w:space="0" w:color="000000"/>
              <w:bottom w:val="single" w:sz="4" w:space="0" w:color="000000"/>
              <w:right w:val="single" w:sz="4" w:space="0" w:color="000000"/>
            </w:tcBorders>
          </w:tcPr>
          <w:p w:rsidR="00A02ECF" w:rsidRDefault="006104A2">
            <w:pPr>
              <w:spacing w:line="256" w:lineRule="auto"/>
              <w:jc w:val="right"/>
              <w:rPr>
                <w:bCs/>
              </w:rPr>
            </w:pPr>
            <w:r>
              <w:rPr>
                <w:bCs/>
              </w:rPr>
              <w:t>27 811,82</w:t>
            </w:r>
          </w:p>
        </w:tc>
        <w:tc>
          <w:tcPr>
            <w:tcW w:w="2166" w:type="dxa"/>
            <w:tcBorders>
              <w:top w:val="single" w:sz="4" w:space="0" w:color="000000"/>
              <w:left w:val="single" w:sz="4" w:space="0" w:color="000000"/>
              <w:bottom w:val="single" w:sz="4" w:space="0" w:color="000000"/>
              <w:right w:val="single" w:sz="4" w:space="0" w:color="000000"/>
            </w:tcBorders>
          </w:tcPr>
          <w:p w:rsidR="00A02ECF" w:rsidRDefault="00A02ECF">
            <w:pPr>
              <w:spacing w:line="256" w:lineRule="auto"/>
              <w:jc w:val="right"/>
              <w:rPr>
                <w:bCs/>
              </w:rPr>
            </w:pPr>
          </w:p>
        </w:tc>
      </w:tr>
      <w:tr w:rsidR="00A02ECF">
        <w:tc>
          <w:tcPr>
            <w:tcW w:w="5416" w:type="dxa"/>
            <w:tcBorders>
              <w:top w:val="single" w:sz="4" w:space="0" w:color="000000"/>
              <w:left w:val="single" w:sz="4" w:space="0" w:color="000000"/>
              <w:bottom w:val="single" w:sz="4" w:space="0" w:color="000000"/>
              <w:right w:val="single" w:sz="4" w:space="0" w:color="000000"/>
            </w:tcBorders>
          </w:tcPr>
          <w:p w:rsidR="00A02ECF" w:rsidRDefault="006104A2">
            <w:pPr>
              <w:spacing w:line="256" w:lineRule="auto"/>
            </w:pPr>
            <w:r>
              <w:t>Прирост запасов за счет ГРР</w:t>
            </w:r>
          </w:p>
        </w:tc>
        <w:tc>
          <w:tcPr>
            <w:tcW w:w="1515" w:type="dxa"/>
            <w:tcBorders>
              <w:top w:val="single" w:sz="4" w:space="0" w:color="000000"/>
              <w:left w:val="single" w:sz="4" w:space="0" w:color="000000"/>
              <w:bottom w:val="single" w:sz="4" w:space="0" w:color="000000"/>
              <w:right w:val="single" w:sz="4" w:space="0" w:color="000000"/>
            </w:tcBorders>
          </w:tcPr>
          <w:p w:rsidR="00A02ECF" w:rsidRDefault="00A02ECF">
            <w:pPr>
              <w:spacing w:line="256" w:lineRule="auto"/>
              <w:jc w:val="right"/>
              <w:rPr>
                <w:bCs/>
              </w:rPr>
            </w:pPr>
          </w:p>
        </w:tc>
        <w:tc>
          <w:tcPr>
            <w:tcW w:w="2166" w:type="dxa"/>
            <w:tcBorders>
              <w:top w:val="single" w:sz="4" w:space="0" w:color="000000"/>
              <w:left w:val="single" w:sz="4" w:space="0" w:color="000000"/>
              <w:bottom w:val="single" w:sz="4" w:space="0" w:color="000000"/>
              <w:right w:val="single" w:sz="4" w:space="0" w:color="000000"/>
            </w:tcBorders>
          </w:tcPr>
          <w:p w:rsidR="00A02ECF" w:rsidRDefault="006104A2">
            <w:pPr>
              <w:spacing w:line="256" w:lineRule="auto"/>
              <w:jc w:val="right"/>
              <w:rPr>
                <w:bCs/>
              </w:rPr>
            </w:pPr>
            <w:r>
              <w:rPr>
                <w:color w:val="000000"/>
              </w:rPr>
              <w:t>437,28</w:t>
            </w:r>
          </w:p>
        </w:tc>
      </w:tr>
      <w:tr w:rsidR="00A02ECF">
        <w:tc>
          <w:tcPr>
            <w:tcW w:w="5416" w:type="dxa"/>
            <w:tcBorders>
              <w:top w:val="single" w:sz="4" w:space="0" w:color="000000"/>
              <w:left w:val="single" w:sz="4" w:space="0" w:color="000000"/>
              <w:bottom w:val="single" w:sz="4" w:space="0" w:color="000000"/>
              <w:right w:val="single" w:sz="4" w:space="0" w:color="000000"/>
            </w:tcBorders>
          </w:tcPr>
          <w:p w:rsidR="00A02ECF" w:rsidRDefault="006104A2">
            <w:pPr>
              <w:spacing w:line="256" w:lineRule="auto"/>
            </w:pPr>
            <w:r>
              <w:t>Добыча (включая потери) *</w:t>
            </w:r>
          </w:p>
        </w:tc>
        <w:tc>
          <w:tcPr>
            <w:tcW w:w="1515" w:type="dxa"/>
            <w:tcBorders>
              <w:top w:val="single" w:sz="4" w:space="0" w:color="000000"/>
              <w:left w:val="single" w:sz="4" w:space="0" w:color="000000"/>
              <w:bottom w:val="single" w:sz="4" w:space="0" w:color="000000"/>
              <w:right w:val="single" w:sz="4" w:space="0" w:color="000000"/>
            </w:tcBorders>
          </w:tcPr>
          <w:p w:rsidR="00A02ECF" w:rsidRDefault="00A02ECF">
            <w:pPr>
              <w:spacing w:line="256" w:lineRule="auto"/>
              <w:jc w:val="right"/>
              <w:rPr>
                <w:bCs/>
              </w:rPr>
            </w:pPr>
          </w:p>
        </w:tc>
        <w:tc>
          <w:tcPr>
            <w:tcW w:w="2166" w:type="dxa"/>
            <w:tcBorders>
              <w:top w:val="single" w:sz="4" w:space="0" w:color="000000"/>
              <w:left w:val="single" w:sz="4" w:space="0" w:color="000000"/>
              <w:bottom w:val="single" w:sz="4" w:space="0" w:color="000000"/>
              <w:right w:val="single" w:sz="4" w:space="0" w:color="000000"/>
            </w:tcBorders>
          </w:tcPr>
          <w:p w:rsidR="00A02ECF" w:rsidRDefault="006104A2">
            <w:pPr>
              <w:spacing w:line="256" w:lineRule="auto"/>
              <w:jc w:val="right"/>
              <w:rPr>
                <w:bCs/>
              </w:rPr>
            </w:pPr>
            <w:r>
              <w:rPr>
                <w:rFonts w:eastAsia="Calibri"/>
                <w:color w:val="000000"/>
              </w:rPr>
              <w:t>-405,64</w:t>
            </w:r>
          </w:p>
        </w:tc>
      </w:tr>
      <w:tr w:rsidR="00A02ECF">
        <w:tc>
          <w:tcPr>
            <w:tcW w:w="5416" w:type="dxa"/>
            <w:tcBorders>
              <w:top w:val="single" w:sz="4" w:space="0" w:color="000000"/>
              <w:left w:val="single" w:sz="4" w:space="0" w:color="000000"/>
              <w:bottom w:val="single" w:sz="4" w:space="0" w:color="000000"/>
              <w:right w:val="single" w:sz="4" w:space="0" w:color="000000"/>
            </w:tcBorders>
          </w:tcPr>
          <w:p w:rsidR="00A02ECF" w:rsidRDefault="006104A2">
            <w:pPr>
              <w:spacing w:line="256" w:lineRule="auto"/>
            </w:pPr>
            <w:r>
              <w:t>Другие факторы</w:t>
            </w:r>
          </w:p>
        </w:tc>
        <w:tc>
          <w:tcPr>
            <w:tcW w:w="1515" w:type="dxa"/>
            <w:tcBorders>
              <w:top w:val="single" w:sz="4" w:space="0" w:color="000000"/>
              <w:left w:val="single" w:sz="4" w:space="0" w:color="000000"/>
              <w:bottom w:val="single" w:sz="4" w:space="0" w:color="000000"/>
              <w:right w:val="single" w:sz="4" w:space="0" w:color="000000"/>
            </w:tcBorders>
          </w:tcPr>
          <w:p w:rsidR="00A02ECF" w:rsidRDefault="00A02ECF">
            <w:pPr>
              <w:spacing w:line="256" w:lineRule="auto"/>
              <w:jc w:val="right"/>
              <w:rPr>
                <w:bCs/>
              </w:rPr>
            </w:pPr>
          </w:p>
        </w:tc>
        <w:tc>
          <w:tcPr>
            <w:tcW w:w="2166" w:type="dxa"/>
            <w:tcBorders>
              <w:top w:val="single" w:sz="4" w:space="0" w:color="000000"/>
              <w:left w:val="single" w:sz="4" w:space="0" w:color="000000"/>
              <w:bottom w:val="single" w:sz="4" w:space="0" w:color="000000"/>
              <w:right w:val="single" w:sz="4" w:space="0" w:color="000000"/>
            </w:tcBorders>
          </w:tcPr>
          <w:p w:rsidR="00A02ECF" w:rsidRDefault="006104A2">
            <w:pPr>
              <w:spacing w:line="256" w:lineRule="auto"/>
              <w:jc w:val="right"/>
              <w:rPr>
                <w:bCs/>
              </w:rPr>
            </w:pPr>
            <w:r>
              <w:rPr>
                <w:rFonts w:eastAsia="Calibri"/>
                <w:color w:val="000000"/>
              </w:rPr>
              <w:t>-159,67</w:t>
            </w:r>
          </w:p>
        </w:tc>
      </w:tr>
      <w:tr w:rsidR="00A02ECF">
        <w:tc>
          <w:tcPr>
            <w:tcW w:w="5416" w:type="dxa"/>
            <w:tcBorders>
              <w:top w:val="single" w:sz="4" w:space="0" w:color="000000"/>
              <w:left w:val="single" w:sz="4" w:space="0" w:color="000000"/>
              <w:bottom w:val="single" w:sz="4" w:space="0" w:color="000000"/>
              <w:right w:val="single" w:sz="4" w:space="0" w:color="000000"/>
            </w:tcBorders>
          </w:tcPr>
          <w:p w:rsidR="00A02ECF" w:rsidRDefault="006104A2">
            <w:pPr>
              <w:spacing w:line="256" w:lineRule="auto"/>
            </w:pPr>
            <w:r>
              <w:t>Запасы природного газа по состоянию на 31.12.2025 г.</w:t>
            </w:r>
          </w:p>
        </w:tc>
        <w:tc>
          <w:tcPr>
            <w:tcW w:w="1515" w:type="dxa"/>
            <w:tcBorders>
              <w:top w:val="single" w:sz="4" w:space="0" w:color="000000"/>
              <w:left w:val="single" w:sz="4" w:space="0" w:color="000000"/>
              <w:bottom w:val="single" w:sz="4" w:space="0" w:color="000000"/>
              <w:right w:val="single" w:sz="4" w:space="0" w:color="000000"/>
            </w:tcBorders>
          </w:tcPr>
          <w:p w:rsidR="00A02ECF" w:rsidRDefault="006104A2">
            <w:pPr>
              <w:spacing w:line="256" w:lineRule="auto"/>
              <w:jc w:val="right"/>
              <w:rPr>
                <w:bCs/>
              </w:rPr>
            </w:pPr>
            <w:r>
              <w:rPr>
                <w:rFonts w:eastAsia="Calibri"/>
                <w:color w:val="000000"/>
              </w:rPr>
              <w:t>27 683,79</w:t>
            </w:r>
          </w:p>
        </w:tc>
        <w:tc>
          <w:tcPr>
            <w:tcW w:w="2166" w:type="dxa"/>
            <w:tcBorders>
              <w:top w:val="single" w:sz="4" w:space="0" w:color="000000"/>
              <w:left w:val="single" w:sz="4" w:space="0" w:color="000000"/>
              <w:bottom w:val="single" w:sz="4" w:space="0" w:color="000000"/>
              <w:right w:val="single" w:sz="4" w:space="0" w:color="000000"/>
            </w:tcBorders>
          </w:tcPr>
          <w:p w:rsidR="00A02ECF" w:rsidRDefault="00A02ECF">
            <w:pPr>
              <w:spacing w:line="256" w:lineRule="auto"/>
              <w:jc w:val="right"/>
              <w:rPr>
                <w:bCs/>
              </w:rPr>
            </w:pPr>
          </w:p>
        </w:tc>
      </w:tr>
    </w:tbl>
    <w:p w:rsidR="00A02ECF" w:rsidRDefault="006104A2">
      <w:pPr>
        <w:spacing w:before="60" w:after="60"/>
        <w:jc w:val="both"/>
      </w:pPr>
      <w:r>
        <w:t>* Исключая растворенный газ.</w:t>
      </w:r>
    </w:p>
    <w:p w:rsidR="00A02ECF" w:rsidRDefault="006104A2">
      <w:pPr>
        <w:spacing w:before="60"/>
        <w:jc w:val="both"/>
        <w:rPr>
          <w:b/>
          <w:bCs/>
          <w:i/>
          <w:iCs/>
          <w:color w:val="000000"/>
        </w:rPr>
      </w:pPr>
      <w:r>
        <w:rPr>
          <w:b/>
          <w:bCs/>
          <w:i/>
          <w:iCs/>
          <w:color w:val="000000"/>
        </w:rPr>
        <w:lastRenderedPageBreak/>
        <w:t xml:space="preserve">Более 40% из разведанных запасов природного газа Группы Газпром сосредоточено в активно развивающихся новых регионах газодобычи, а также на месторождениях, обеспечивающих стабильную добычу в хорошо изученных Надым-Пур-Тазовском регионе и европейской части Российской Федерации. </w:t>
      </w:r>
    </w:p>
    <w:p w:rsidR="00A02ECF" w:rsidRDefault="006104A2">
      <w:pPr>
        <w:spacing w:before="60"/>
        <w:jc w:val="both"/>
        <w:rPr>
          <w:b/>
          <w:bCs/>
          <w:i/>
          <w:iCs/>
        </w:rPr>
      </w:pPr>
      <w:r>
        <w:rPr>
          <w:b/>
          <w:bCs/>
          <w:i/>
          <w:iCs/>
        </w:rPr>
        <w:t>Доля Группы в запасах углеводородов категорий А+В</w:t>
      </w:r>
      <w:r>
        <w:rPr>
          <w:b/>
          <w:bCs/>
          <w:i/>
          <w:iCs/>
          <w:vertAlign w:val="subscript"/>
        </w:rPr>
        <w:t>1</w:t>
      </w:r>
      <w:r>
        <w:rPr>
          <w:b/>
          <w:bCs/>
          <w:i/>
          <w:iCs/>
        </w:rPr>
        <w:t>+С</w:t>
      </w:r>
      <w:r>
        <w:rPr>
          <w:b/>
          <w:bCs/>
          <w:i/>
          <w:iCs/>
          <w:vertAlign w:val="subscript"/>
        </w:rPr>
        <w:t>1</w:t>
      </w:r>
      <w:r>
        <w:rPr>
          <w:b/>
          <w:bCs/>
          <w:i/>
          <w:iCs/>
        </w:rPr>
        <w:t xml:space="preserve"> ассоциированных организаций и совместных предприятий на территории России составила на 31.12.2025 г. 1 434,6 млрд куб. м природного газа, 109,7 млн т газового конденсата и 744,7 млн т нефти.</w:t>
      </w:r>
    </w:p>
    <w:p w:rsidR="00A02ECF" w:rsidRDefault="00A02ECF">
      <w:pPr>
        <w:spacing w:before="60"/>
        <w:jc w:val="both"/>
        <w:rPr>
          <w:rFonts w:eastAsia="Calibri"/>
          <w:sz w:val="22"/>
        </w:rPr>
      </w:pPr>
    </w:p>
    <w:p w:rsidR="00A02ECF" w:rsidRPr="00CD27DD" w:rsidRDefault="006104A2">
      <w:pPr>
        <w:rPr>
          <w:b/>
          <w:i/>
        </w:rPr>
      </w:pPr>
      <w:bookmarkStart w:id="60" w:name="_Hlk134619702"/>
      <w:r w:rsidRPr="00CD27DD">
        <w:rPr>
          <w:b/>
          <w:i/>
        </w:rPr>
        <w:t xml:space="preserve">Геологоразведка </w:t>
      </w:r>
      <w:bookmarkEnd w:id="57"/>
      <w:bookmarkEnd w:id="58"/>
    </w:p>
    <w:p w:rsidR="00A02ECF" w:rsidRDefault="006104A2">
      <w:pPr>
        <w:pStyle w:val="pf0"/>
        <w:spacing w:before="120" w:beforeAutospacing="0" w:after="0" w:afterAutospacing="0"/>
        <w:jc w:val="both"/>
        <w:rPr>
          <w:rFonts w:eastAsia="Calibri"/>
          <w:b/>
          <w:bCs/>
          <w:i/>
          <w:iCs/>
          <w:color w:val="000000"/>
          <w:sz w:val="20"/>
          <w:szCs w:val="22"/>
          <w:lang w:eastAsia="en-US"/>
        </w:rPr>
      </w:pPr>
      <w:bookmarkStart w:id="61" w:name="_Hlk182817993"/>
      <w:r>
        <w:rPr>
          <w:rFonts w:eastAsia="Calibri"/>
          <w:b/>
          <w:bCs/>
          <w:i/>
          <w:iCs/>
          <w:color w:val="000000"/>
          <w:sz w:val="20"/>
          <w:szCs w:val="22"/>
          <w:lang w:eastAsia="en-US"/>
        </w:rPr>
        <w:t>Для восполнения и расширения минерально-сырьевой базы Группой реализуется активная программа геолого-разведочных работ (ГРР) с применением современных методов поиска углеводородов. Работы осуществляются в пределах лицензионных участков Группы Газпром практически во всех нефтегазоносных провинциях, расположенных на суше, а также на шельфе арктических морей и в Охотском нефтегазоносном бассейне. На регулярной основе проводится оценка перспектив лицензионных участков, выставляемых на конкурсы и аукционы на право пользования недрами.</w:t>
      </w:r>
    </w:p>
    <w:p w:rsidR="00A02ECF" w:rsidRDefault="006104A2">
      <w:pPr>
        <w:pStyle w:val="affb"/>
        <w:spacing w:before="120"/>
        <w:rPr>
          <w:b/>
          <w:bCs/>
          <w:i/>
          <w:iCs/>
          <w:sz w:val="20"/>
        </w:rPr>
      </w:pPr>
      <w:r>
        <w:rPr>
          <w:b/>
          <w:bCs/>
          <w:i/>
          <w:iCs/>
          <w:sz w:val="20"/>
        </w:rPr>
        <w:t>В 2025 году на территории Российской Федерации Группой Газпром с целью поиска и разведки углеводородов выполнено 1,6 тыс. км</w:t>
      </w:r>
      <w:r>
        <w:rPr>
          <w:b/>
          <w:bCs/>
          <w:i/>
          <w:iCs/>
          <w:sz w:val="20"/>
          <w:vertAlign w:val="superscript"/>
        </w:rPr>
        <w:t>2</w:t>
      </w:r>
      <w:r>
        <w:rPr>
          <w:b/>
          <w:bCs/>
          <w:i/>
          <w:iCs/>
          <w:sz w:val="20"/>
        </w:rPr>
        <w:t xml:space="preserve"> сейсмических работ 3D, 4,1 тыс. пог. км сейсморазведочных работ 2D, поисково-разведочным бурением пройдено 121,0 тыс. м горных пород, закончены строительством 20 поисково-оценочных и разведочных скважин, 13 из них дали приток. </w:t>
      </w:r>
    </w:p>
    <w:p w:rsidR="00A02ECF" w:rsidRDefault="006104A2">
      <w:pPr>
        <w:pStyle w:val="pf0"/>
        <w:spacing w:before="120" w:beforeAutospacing="0" w:after="0" w:afterAutospacing="0"/>
        <w:jc w:val="both"/>
        <w:rPr>
          <w:rFonts w:eastAsia="Calibri"/>
          <w:b/>
          <w:bCs/>
          <w:i/>
          <w:iCs/>
          <w:color w:val="000000"/>
          <w:sz w:val="20"/>
          <w:szCs w:val="20"/>
          <w:lang w:eastAsia="en-US"/>
        </w:rPr>
      </w:pPr>
      <w:r>
        <w:rPr>
          <w:rFonts w:eastAsia="Calibri"/>
          <w:b/>
          <w:bCs/>
          <w:i/>
          <w:iCs/>
          <w:color w:val="000000"/>
          <w:sz w:val="20"/>
          <w:szCs w:val="20"/>
          <w:lang w:eastAsia="en-US"/>
        </w:rPr>
        <w:t>По итогам отчетного года на территории России прирост запасов углеводородов по категориям А+B</w:t>
      </w:r>
      <w:r>
        <w:rPr>
          <w:rFonts w:eastAsia="Calibri"/>
          <w:b/>
          <w:bCs/>
          <w:i/>
          <w:iCs/>
          <w:color w:val="000000"/>
          <w:sz w:val="20"/>
          <w:szCs w:val="20"/>
          <w:vertAlign w:val="subscript"/>
          <w:lang w:eastAsia="en-US"/>
        </w:rPr>
        <w:t>1</w:t>
      </w:r>
      <w:r>
        <w:rPr>
          <w:rFonts w:eastAsia="Calibri"/>
          <w:b/>
          <w:bCs/>
          <w:i/>
          <w:iCs/>
          <w:color w:val="000000"/>
          <w:sz w:val="20"/>
          <w:szCs w:val="20"/>
          <w:lang w:eastAsia="en-US"/>
        </w:rPr>
        <w:t>+C</w:t>
      </w:r>
      <w:r>
        <w:rPr>
          <w:rFonts w:eastAsia="Calibri"/>
          <w:b/>
          <w:bCs/>
          <w:i/>
          <w:iCs/>
          <w:color w:val="000000"/>
          <w:sz w:val="20"/>
          <w:szCs w:val="20"/>
          <w:vertAlign w:val="subscript"/>
          <w:lang w:eastAsia="en-US"/>
        </w:rPr>
        <w:t>1</w:t>
      </w:r>
      <w:r>
        <w:rPr>
          <w:rFonts w:eastAsia="Calibri"/>
          <w:b/>
          <w:bCs/>
          <w:i/>
          <w:iCs/>
          <w:color w:val="000000"/>
          <w:sz w:val="20"/>
          <w:szCs w:val="20"/>
          <w:lang w:eastAsia="en-US"/>
        </w:rPr>
        <w:t xml:space="preserve"> в результате проведения ГРР составил </w:t>
      </w:r>
      <w:r>
        <w:rPr>
          <w:b/>
          <w:bCs/>
          <w:i/>
          <w:iCs/>
          <w:sz w:val="20"/>
          <w:szCs w:val="20"/>
        </w:rPr>
        <w:t>437,3</w:t>
      </w:r>
      <w:r>
        <w:rPr>
          <w:rFonts w:eastAsia="Calibri"/>
          <w:b/>
          <w:bCs/>
          <w:i/>
          <w:iCs/>
          <w:color w:val="000000"/>
          <w:sz w:val="20"/>
          <w:szCs w:val="20"/>
          <w:lang w:val="en-US" w:eastAsia="en-US"/>
        </w:rPr>
        <w:t> </w:t>
      </w:r>
      <w:r>
        <w:rPr>
          <w:rFonts w:eastAsia="Calibri"/>
          <w:b/>
          <w:bCs/>
          <w:i/>
          <w:iCs/>
          <w:color w:val="000000"/>
          <w:sz w:val="20"/>
          <w:szCs w:val="20"/>
          <w:lang w:eastAsia="en-US"/>
        </w:rPr>
        <w:t xml:space="preserve">млрд куб. м природного газа, </w:t>
      </w:r>
      <w:r>
        <w:rPr>
          <w:rFonts w:eastAsia="Calibri"/>
          <w:b/>
          <w:bCs/>
          <w:i/>
          <w:iCs/>
          <w:color w:val="000000"/>
          <w:sz w:val="20"/>
          <w:szCs w:val="20"/>
        </w:rPr>
        <w:t>5,2</w:t>
      </w:r>
      <w:r>
        <w:rPr>
          <w:rFonts w:eastAsia="Calibri"/>
          <w:b/>
          <w:bCs/>
          <w:i/>
          <w:iCs/>
          <w:color w:val="000000"/>
          <w:sz w:val="20"/>
          <w:szCs w:val="20"/>
          <w:lang w:val="en-US" w:eastAsia="en-US"/>
        </w:rPr>
        <w:t> </w:t>
      </w:r>
      <w:r>
        <w:rPr>
          <w:rFonts w:eastAsia="Calibri"/>
          <w:b/>
          <w:bCs/>
          <w:i/>
          <w:iCs/>
          <w:color w:val="000000"/>
          <w:sz w:val="20"/>
          <w:szCs w:val="20"/>
          <w:lang w:eastAsia="en-US"/>
        </w:rPr>
        <w:t xml:space="preserve">млн т газового конденсата и </w:t>
      </w:r>
      <w:r>
        <w:rPr>
          <w:rFonts w:eastAsia="Calibri"/>
          <w:b/>
          <w:bCs/>
          <w:i/>
          <w:iCs/>
          <w:color w:val="000000"/>
          <w:sz w:val="20"/>
          <w:szCs w:val="20"/>
        </w:rPr>
        <w:t>78,0</w:t>
      </w:r>
      <w:r>
        <w:rPr>
          <w:rFonts w:eastAsia="Calibri"/>
          <w:b/>
          <w:bCs/>
          <w:i/>
          <w:iCs/>
          <w:color w:val="000000"/>
          <w:sz w:val="20"/>
          <w:szCs w:val="20"/>
          <w:lang w:eastAsia="en-US"/>
        </w:rPr>
        <w:t xml:space="preserve"> млн т нефти. </w:t>
      </w:r>
    </w:p>
    <w:p w:rsidR="00A02ECF" w:rsidRDefault="006104A2">
      <w:pPr>
        <w:spacing w:before="120"/>
        <w:jc w:val="both"/>
        <w:rPr>
          <w:b/>
          <w:bCs/>
          <w:i/>
          <w:iCs/>
        </w:rPr>
      </w:pPr>
      <w:r>
        <w:rPr>
          <w:b/>
          <w:bCs/>
          <w:i/>
          <w:iCs/>
        </w:rPr>
        <w:t>Наиболее существенный прирост запасов газа получен на континентальном шельфе Российской Федерации на Ледовом месторождении в Баренцевом море и на Ленинградском месторождении в Карском море. По приростам нефти наибольшая доля приходится на месторождения им. Александра Жагрина и Приобское в ХМАО-Югре.</w:t>
      </w:r>
    </w:p>
    <w:p w:rsidR="00A02ECF" w:rsidRDefault="006104A2">
      <w:pPr>
        <w:spacing w:before="120"/>
        <w:jc w:val="both"/>
        <w:rPr>
          <w:b/>
          <w:u w:val="single"/>
        </w:rPr>
      </w:pPr>
      <w:r>
        <w:rPr>
          <w:b/>
          <w:bCs/>
          <w:i/>
          <w:iCs/>
          <w:color w:val="000000"/>
        </w:rPr>
        <w:t>Текущий уровень организации геолого-разведочных работ позволяет Газпрому поддерживать низкий уровень себестоимости разведки.</w:t>
      </w:r>
    </w:p>
    <w:p w:rsidR="00A02ECF" w:rsidRDefault="00A02ECF">
      <w:pPr>
        <w:rPr>
          <w:b/>
          <w:u w:val="single"/>
        </w:rPr>
      </w:pPr>
    </w:p>
    <w:p w:rsidR="00A02ECF" w:rsidRPr="00CD27DD" w:rsidRDefault="006104A2">
      <w:pPr>
        <w:rPr>
          <w:b/>
          <w:i/>
        </w:rPr>
      </w:pPr>
      <w:r w:rsidRPr="00CD27DD">
        <w:rPr>
          <w:b/>
          <w:i/>
        </w:rPr>
        <w:t xml:space="preserve">Переоценка </w:t>
      </w:r>
    </w:p>
    <w:p w:rsidR="00A02ECF" w:rsidRDefault="006104A2">
      <w:pPr>
        <w:jc w:val="both"/>
        <w:rPr>
          <w:b/>
          <w:bCs/>
          <w:i/>
          <w:iCs/>
        </w:rPr>
      </w:pPr>
      <w:bookmarkStart w:id="62" w:name="_Hlk197512925"/>
      <w:bookmarkEnd w:id="59"/>
      <w:r>
        <w:rPr>
          <w:b/>
          <w:bCs/>
          <w:i/>
          <w:iCs/>
        </w:rPr>
        <w:t xml:space="preserve">Также на динамику запасов природного газа Группы Газпром продолжает оказывать начатая в 2016 году работа по постановке на государственный баланс извлекаемых запасов газа с коэффициентами извлечения. По состоянию на 31 декабря 2025 года завершена оценка коэффициентов извлечения на месторождениях, содержащих </w:t>
      </w:r>
      <w:r>
        <w:rPr>
          <w:rFonts w:eastAsia="Calibri"/>
          <w:b/>
          <w:bCs/>
          <w:i/>
          <w:iCs/>
          <w:color w:val="000000"/>
        </w:rPr>
        <w:t>83</w:t>
      </w:r>
      <w:r>
        <w:rPr>
          <w:b/>
          <w:bCs/>
          <w:i/>
          <w:iCs/>
        </w:rPr>
        <w:t> % запасов Газпрома категорий А+В</w:t>
      </w:r>
      <w:r>
        <w:rPr>
          <w:b/>
          <w:bCs/>
          <w:i/>
          <w:iCs/>
          <w:vertAlign w:val="subscript"/>
        </w:rPr>
        <w:t>1</w:t>
      </w:r>
      <w:r>
        <w:rPr>
          <w:b/>
          <w:bCs/>
          <w:i/>
          <w:iCs/>
        </w:rPr>
        <w:t>+С</w:t>
      </w:r>
      <w:r>
        <w:rPr>
          <w:b/>
          <w:bCs/>
          <w:i/>
          <w:iCs/>
          <w:vertAlign w:val="subscript"/>
        </w:rPr>
        <w:t>1</w:t>
      </w:r>
      <w:r>
        <w:rPr>
          <w:b/>
          <w:bCs/>
          <w:i/>
          <w:iCs/>
        </w:rPr>
        <w:t xml:space="preserve">. </w:t>
      </w:r>
    </w:p>
    <w:p w:rsidR="00A02ECF" w:rsidRDefault="00A02ECF">
      <w:pPr>
        <w:spacing w:before="0" w:after="0"/>
        <w:rPr>
          <w:b/>
        </w:rPr>
      </w:pPr>
    </w:p>
    <w:p w:rsidR="00A02ECF" w:rsidRDefault="006104A2">
      <w:pPr>
        <w:spacing w:before="120" w:after="120"/>
        <w:rPr>
          <w:b/>
        </w:rPr>
      </w:pPr>
      <w:r>
        <w:rPr>
          <w:b/>
        </w:rPr>
        <w:t>Добыча</w:t>
      </w:r>
      <w:bookmarkEnd w:id="60"/>
    </w:p>
    <w:p w:rsidR="00A02ECF" w:rsidRDefault="006104A2">
      <w:pPr>
        <w:spacing w:before="0" w:after="60"/>
        <w:jc w:val="both"/>
        <w:rPr>
          <w:b/>
        </w:rPr>
      </w:pPr>
      <w:r>
        <w:rPr>
          <w:b/>
        </w:rPr>
        <w:t xml:space="preserve">Объемы добычи Группы Газпром на территории Российской Федерации с учетом доли в добыче организаций, инвестиции в которые классифицированы как совместные операции </w:t>
      </w:r>
    </w:p>
    <w:tbl>
      <w:tblPr>
        <w:tblW w:w="9072" w:type="dxa"/>
        <w:tblInd w:w="137" w:type="dxa"/>
        <w:tblLayout w:type="fixed"/>
        <w:tblLook w:val="04A0" w:firstRow="1" w:lastRow="0" w:firstColumn="1" w:lastColumn="0" w:noHBand="0" w:noVBand="1"/>
      </w:tblPr>
      <w:tblGrid>
        <w:gridCol w:w="3119"/>
        <w:gridCol w:w="1440"/>
        <w:gridCol w:w="1440"/>
        <w:gridCol w:w="1565"/>
        <w:gridCol w:w="1508"/>
      </w:tblGrid>
      <w:tr w:rsidR="00A02ECF">
        <w:tc>
          <w:tcPr>
            <w:tcW w:w="3119" w:type="dxa"/>
            <w:tcBorders>
              <w:top w:val="single" w:sz="4" w:space="0" w:color="000000"/>
              <w:left w:val="single" w:sz="4" w:space="0" w:color="000000"/>
              <w:bottom w:val="single" w:sz="4" w:space="0" w:color="000000"/>
              <w:right w:val="single" w:sz="4" w:space="0" w:color="000000"/>
            </w:tcBorders>
            <w:vAlign w:val="center"/>
          </w:tcPr>
          <w:p w:rsidR="00A02ECF" w:rsidRDefault="00A02ECF">
            <w:pPr>
              <w:rPr>
                <w:b/>
                <w:bCs/>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A02ECF" w:rsidRDefault="006104A2">
            <w:pPr>
              <w:jc w:val="center"/>
              <w:rPr>
                <w:b/>
                <w:bCs/>
              </w:rPr>
            </w:pPr>
            <w:r>
              <w:rPr>
                <w:rFonts w:eastAsia="Calibri"/>
                <w:b/>
              </w:rPr>
              <w:t>Единицы измерения</w:t>
            </w:r>
          </w:p>
        </w:tc>
        <w:tc>
          <w:tcPr>
            <w:tcW w:w="1440" w:type="dxa"/>
            <w:tcBorders>
              <w:top w:val="single" w:sz="4" w:space="0" w:color="000000"/>
              <w:left w:val="single" w:sz="4" w:space="0" w:color="000000"/>
              <w:bottom w:val="single" w:sz="4" w:space="0" w:color="000000"/>
              <w:right w:val="single" w:sz="4" w:space="0" w:color="000000"/>
            </w:tcBorders>
            <w:vAlign w:val="center"/>
          </w:tcPr>
          <w:p w:rsidR="00A02ECF" w:rsidRDefault="006104A2">
            <w:pPr>
              <w:jc w:val="right"/>
              <w:rPr>
                <w:b/>
                <w:bCs/>
              </w:rPr>
            </w:pPr>
            <w:r>
              <w:rPr>
                <w:b/>
                <w:bCs/>
              </w:rPr>
              <w:t>2024 г.</w:t>
            </w:r>
          </w:p>
        </w:tc>
        <w:tc>
          <w:tcPr>
            <w:tcW w:w="1565" w:type="dxa"/>
            <w:tcBorders>
              <w:top w:val="single" w:sz="4" w:space="0" w:color="000000"/>
              <w:left w:val="single" w:sz="4" w:space="0" w:color="000000"/>
              <w:bottom w:val="single" w:sz="4" w:space="0" w:color="000000"/>
              <w:right w:val="single" w:sz="4" w:space="0" w:color="000000"/>
            </w:tcBorders>
            <w:vAlign w:val="center"/>
          </w:tcPr>
          <w:p w:rsidR="00A02ECF" w:rsidRDefault="006104A2">
            <w:pPr>
              <w:keepNext/>
              <w:keepLines/>
              <w:spacing w:before="60" w:after="60"/>
              <w:jc w:val="right"/>
              <w:rPr>
                <w:b/>
                <w:color w:val="000000"/>
              </w:rPr>
            </w:pPr>
            <w:r>
              <w:rPr>
                <w:b/>
              </w:rPr>
              <w:t>2025 г.</w:t>
            </w:r>
          </w:p>
        </w:tc>
        <w:tc>
          <w:tcPr>
            <w:tcW w:w="1508" w:type="dxa"/>
            <w:tcBorders>
              <w:top w:val="single" w:sz="4" w:space="0" w:color="000000"/>
              <w:left w:val="single" w:sz="4" w:space="0" w:color="000000"/>
              <w:bottom w:val="single" w:sz="4" w:space="0" w:color="000000"/>
              <w:right w:val="single" w:sz="4" w:space="0" w:color="000000"/>
            </w:tcBorders>
            <w:vAlign w:val="center"/>
          </w:tcPr>
          <w:p w:rsidR="00A02ECF" w:rsidRDefault="006104A2">
            <w:pPr>
              <w:keepNext/>
              <w:keepLines/>
              <w:ind w:left="176"/>
              <w:jc w:val="center"/>
              <w:rPr>
                <w:b/>
              </w:rPr>
            </w:pPr>
            <w:r>
              <w:rPr>
                <w:b/>
              </w:rPr>
              <w:t>Изменение (%)</w:t>
            </w:r>
          </w:p>
        </w:tc>
      </w:tr>
      <w:tr w:rsidR="00A02ECF">
        <w:tc>
          <w:tcPr>
            <w:tcW w:w="3119" w:type="dxa"/>
            <w:tcBorders>
              <w:top w:val="single" w:sz="4" w:space="0" w:color="000000"/>
              <w:left w:val="single" w:sz="4" w:space="0" w:color="000000"/>
              <w:bottom w:val="single" w:sz="4" w:space="0" w:color="000000"/>
              <w:right w:val="single" w:sz="4" w:space="0" w:color="000000"/>
            </w:tcBorders>
          </w:tcPr>
          <w:p w:rsidR="00A02ECF" w:rsidRDefault="006104A2">
            <w:r>
              <w:t>Природный и попутный газ</w:t>
            </w:r>
          </w:p>
        </w:tc>
        <w:tc>
          <w:tcPr>
            <w:tcW w:w="1440" w:type="dxa"/>
            <w:tcBorders>
              <w:top w:val="single" w:sz="4" w:space="0" w:color="000000"/>
              <w:left w:val="single" w:sz="4" w:space="0" w:color="000000"/>
              <w:bottom w:val="single" w:sz="4" w:space="0" w:color="000000"/>
              <w:right w:val="single" w:sz="4" w:space="0" w:color="000000"/>
            </w:tcBorders>
          </w:tcPr>
          <w:p w:rsidR="00A02ECF" w:rsidRDefault="006104A2">
            <w:pPr>
              <w:jc w:val="both"/>
            </w:pPr>
            <w:r>
              <w:t>млрд куб. м</w:t>
            </w:r>
          </w:p>
        </w:tc>
        <w:tc>
          <w:tcPr>
            <w:tcW w:w="1440" w:type="dxa"/>
            <w:tcBorders>
              <w:top w:val="single" w:sz="4" w:space="0" w:color="000000"/>
              <w:left w:val="single" w:sz="4" w:space="0" w:color="000000"/>
              <w:bottom w:val="single" w:sz="4" w:space="0" w:color="000000"/>
              <w:right w:val="single" w:sz="4" w:space="0" w:color="000000"/>
            </w:tcBorders>
          </w:tcPr>
          <w:p w:rsidR="00A02ECF" w:rsidRDefault="006104A2">
            <w:pPr>
              <w:jc w:val="right"/>
            </w:pPr>
            <w:r>
              <w:rPr>
                <w:color w:val="000000"/>
              </w:rPr>
              <w:t>420,06</w:t>
            </w:r>
          </w:p>
        </w:tc>
        <w:tc>
          <w:tcPr>
            <w:tcW w:w="1565" w:type="dxa"/>
            <w:tcBorders>
              <w:top w:val="single" w:sz="4" w:space="0" w:color="000000"/>
              <w:left w:val="single" w:sz="4" w:space="0" w:color="000000"/>
              <w:bottom w:val="single" w:sz="4" w:space="0" w:color="000000"/>
              <w:right w:val="single" w:sz="4" w:space="0" w:color="000000"/>
            </w:tcBorders>
          </w:tcPr>
          <w:p w:rsidR="00A02ECF" w:rsidRDefault="006104A2">
            <w:pPr>
              <w:spacing w:before="40"/>
              <w:jc w:val="right"/>
              <w:rPr>
                <w:color w:val="000000"/>
              </w:rPr>
            </w:pPr>
            <w:r>
              <w:t>409,33</w:t>
            </w:r>
          </w:p>
        </w:tc>
        <w:tc>
          <w:tcPr>
            <w:tcW w:w="1508" w:type="dxa"/>
            <w:tcBorders>
              <w:top w:val="single" w:sz="4" w:space="0" w:color="000000"/>
              <w:left w:val="single" w:sz="4" w:space="0" w:color="000000"/>
              <w:bottom w:val="single" w:sz="4" w:space="0" w:color="000000"/>
              <w:right w:val="single" w:sz="4" w:space="0" w:color="000000"/>
            </w:tcBorders>
          </w:tcPr>
          <w:p w:rsidR="00A02ECF" w:rsidRDefault="006104A2">
            <w:pPr>
              <w:spacing w:before="40"/>
              <w:jc w:val="right"/>
              <w:rPr>
                <w:color w:val="000000"/>
              </w:rPr>
            </w:pPr>
            <w:r>
              <w:t>-2,55</w:t>
            </w:r>
          </w:p>
        </w:tc>
      </w:tr>
      <w:tr w:rsidR="00A02ECF">
        <w:tc>
          <w:tcPr>
            <w:tcW w:w="3119" w:type="dxa"/>
            <w:tcBorders>
              <w:top w:val="single" w:sz="4" w:space="0" w:color="000000"/>
              <w:left w:val="single" w:sz="4" w:space="0" w:color="000000"/>
              <w:bottom w:val="single" w:sz="4" w:space="0" w:color="000000"/>
              <w:right w:val="single" w:sz="4" w:space="0" w:color="000000"/>
            </w:tcBorders>
          </w:tcPr>
          <w:p w:rsidR="00A02ECF" w:rsidRDefault="006104A2">
            <w:r>
              <w:t>Нефть и газовый конденсат</w:t>
            </w:r>
          </w:p>
        </w:tc>
        <w:tc>
          <w:tcPr>
            <w:tcW w:w="1440" w:type="dxa"/>
            <w:tcBorders>
              <w:top w:val="single" w:sz="4" w:space="0" w:color="000000"/>
              <w:left w:val="single" w:sz="4" w:space="0" w:color="000000"/>
              <w:bottom w:val="single" w:sz="4" w:space="0" w:color="000000"/>
              <w:right w:val="single" w:sz="4" w:space="0" w:color="000000"/>
            </w:tcBorders>
          </w:tcPr>
          <w:p w:rsidR="00A02ECF" w:rsidRDefault="006104A2">
            <w:r>
              <w:t>млн т</w:t>
            </w:r>
          </w:p>
        </w:tc>
        <w:tc>
          <w:tcPr>
            <w:tcW w:w="1440" w:type="dxa"/>
            <w:tcBorders>
              <w:top w:val="single" w:sz="4" w:space="0" w:color="000000"/>
              <w:left w:val="single" w:sz="4" w:space="0" w:color="000000"/>
              <w:bottom w:val="single" w:sz="4" w:space="0" w:color="000000"/>
              <w:right w:val="single" w:sz="4" w:space="0" w:color="000000"/>
            </w:tcBorders>
          </w:tcPr>
          <w:p w:rsidR="00A02ECF" w:rsidRDefault="006104A2">
            <w:pPr>
              <w:jc w:val="right"/>
            </w:pPr>
            <w:r>
              <w:t>75,95</w:t>
            </w:r>
          </w:p>
        </w:tc>
        <w:tc>
          <w:tcPr>
            <w:tcW w:w="1565" w:type="dxa"/>
            <w:tcBorders>
              <w:top w:val="single" w:sz="4" w:space="0" w:color="000000"/>
              <w:left w:val="single" w:sz="4" w:space="0" w:color="000000"/>
              <w:bottom w:val="single" w:sz="4" w:space="0" w:color="000000"/>
              <w:right w:val="single" w:sz="4" w:space="0" w:color="000000"/>
            </w:tcBorders>
          </w:tcPr>
          <w:p w:rsidR="00A02ECF" w:rsidRDefault="006104A2">
            <w:pPr>
              <w:spacing w:before="40"/>
              <w:jc w:val="right"/>
              <w:rPr>
                <w:color w:val="000000"/>
              </w:rPr>
            </w:pPr>
            <w:r>
              <w:t>75,59</w:t>
            </w:r>
          </w:p>
        </w:tc>
        <w:tc>
          <w:tcPr>
            <w:tcW w:w="1508" w:type="dxa"/>
            <w:tcBorders>
              <w:top w:val="single" w:sz="4" w:space="0" w:color="000000"/>
              <w:left w:val="single" w:sz="4" w:space="0" w:color="000000"/>
              <w:bottom w:val="single" w:sz="4" w:space="0" w:color="000000"/>
              <w:right w:val="single" w:sz="4" w:space="0" w:color="000000"/>
            </w:tcBorders>
          </w:tcPr>
          <w:p w:rsidR="00A02ECF" w:rsidRDefault="006104A2">
            <w:pPr>
              <w:spacing w:before="40"/>
              <w:jc w:val="right"/>
              <w:rPr>
                <w:color w:val="000000"/>
              </w:rPr>
            </w:pPr>
            <w:r>
              <w:t>-0,47</w:t>
            </w:r>
          </w:p>
        </w:tc>
      </w:tr>
    </w:tbl>
    <w:p w:rsidR="00A02ECF" w:rsidRDefault="006104A2">
      <w:pPr>
        <w:spacing w:before="120"/>
        <w:jc w:val="both"/>
        <w:rPr>
          <w:b/>
          <w:bCs/>
          <w:i/>
          <w:iCs/>
        </w:rPr>
      </w:pPr>
      <w:r>
        <w:rPr>
          <w:b/>
          <w:bCs/>
          <w:i/>
          <w:iCs/>
        </w:rPr>
        <w:t xml:space="preserve">В 2025 году добыча природного и попутного газа Группы Газпром, с учетом доли в добыче организаций, инвестиции в которые классифицированы как совместные операции, составила </w:t>
      </w:r>
      <w:r>
        <w:rPr>
          <w:rFonts w:eastAsia="Calibri"/>
          <w:b/>
          <w:bCs/>
          <w:i/>
          <w:iCs/>
          <w:color w:val="000000"/>
        </w:rPr>
        <w:t>409,33</w:t>
      </w:r>
      <w:r>
        <w:rPr>
          <w:b/>
          <w:bCs/>
          <w:i/>
          <w:iCs/>
          <w:lang w:val="en-US"/>
        </w:rPr>
        <w:t> </w:t>
      </w:r>
      <w:r>
        <w:rPr>
          <w:b/>
          <w:bCs/>
          <w:i/>
          <w:iCs/>
        </w:rPr>
        <w:t>млрд</w:t>
      </w:r>
      <w:r>
        <w:rPr>
          <w:b/>
          <w:bCs/>
          <w:i/>
          <w:iCs/>
          <w:lang w:val="en-US"/>
        </w:rPr>
        <w:t> </w:t>
      </w:r>
      <w:r>
        <w:rPr>
          <w:b/>
          <w:bCs/>
          <w:i/>
          <w:iCs/>
        </w:rPr>
        <w:t>куб.</w:t>
      </w:r>
      <w:r>
        <w:rPr>
          <w:b/>
          <w:bCs/>
          <w:i/>
          <w:iCs/>
          <w:lang w:val="en-US"/>
        </w:rPr>
        <w:t> </w:t>
      </w:r>
      <w:r>
        <w:rPr>
          <w:b/>
          <w:bCs/>
          <w:i/>
          <w:iCs/>
        </w:rPr>
        <w:t>м.</w:t>
      </w:r>
      <w:r>
        <w:t xml:space="preserve"> </w:t>
      </w:r>
    </w:p>
    <w:p w:rsidR="00A02ECF" w:rsidRDefault="006104A2">
      <w:pPr>
        <w:spacing w:before="120"/>
        <w:jc w:val="both"/>
        <w:rPr>
          <w:b/>
          <w:bCs/>
        </w:rPr>
      </w:pPr>
      <w:r>
        <w:rPr>
          <w:b/>
          <w:bCs/>
          <w:i/>
          <w:iCs/>
        </w:rPr>
        <w:t>Уменьшение объемов добычи природного и попутного газа Группой Газпром относительно 2024 года обусловлено снижением внутреннего потребления природного газа в связи с более теплыми погодными условиями в осенне-зимние периоды 2025 года.</w:t>
      </w:r>
    </w:p>
    <w:p w:rsidR="00A02ECF" w:rsidRDefault="006104A2">
      <w:pPr>
        <w:spacing w:before="120"/>
        <w:jc w:val="both"/>
        <w:rPr>
          <w:b/>
          <w:bCs/>
          <w:i/>
          <w:iCs/>
          <w:strike/>
        </w:rPr>
      </w:pPr>
      <w:r>
        <w:rPr>
          <w:b/>
          <w:bCs/>
          <w:i/>
          <w:iCs/>
        </w:rPr>
        <w:t xml:space="preserve">Объемы добычи и их распределение между действующими центрами газодобычи определяются Компанией исходя из необходимости обеспечения надежных поставок газа российским потребителям, а также выполнения экспортных обязательств. </w:t>
      </w:r>
      <w:r>
        <w:rPr>
          <w:b/>
          <w:bCs/>
          <w:i/>
          <w:iCs/>
          <w:color w:val="000000" w:themeColor="text1"/>
        </w:rPr>
        <w:t>Пр</w:t>
      </w:r>
      <w:r>
        <w:rPr>
          <w:b/>
          <w:bCs/>
          <w:i/>
          <w:iCs/>
          <w:color w:val="000000" w:themeColor="text1"/>
          <w:highlight w:val="white"/>
        </w:rPr>
        <w:t>одолжается последовательное развитие газодобывающих мощностей на Востоке России: расширение мощностей центральной ДКС и поэтапное увеличение (подключение) количества эксплуатационных газовых скважин на Чаяндинском НГКМ; продолжено обустройство Ковыктинского ГКМ,</w:t>
      </w:r>
      <w:r>
        <w:rPr>
          <w:b/>
          <w:bCs/>
          <w:i/>
          <w:iCs/>
          <w:color w:val="FF0000"/>
          <w:highlight w:val="white"/>
        </w:rPr>
        <w:t xml:space="preserve"> </w:t>
      </w:r>
      <w:r>
        <w:rPr>
          <w:b/>
          <w:bCs/>
          <w:i/>
          <w:iCs/>
          <w:highlight w:val="white"/>
        </w:rPr>
        <w:t xml:space="preserve">выполняется поэтапное увеличение </w:t>
      </w:r>
      <w:r>
        <w:rPr>
          <w:b/>
          <w:bCs/>
          <w:i/>
          <w:iCs/>
          <w:highlight w:val="white"/>
        </w:rPr>
        <w:lastRenderedPageBreak/>
        <w:t>(подключение)</w:t>
      </w:r>
      <w:r>
        <w:rPr>
          <w:b/>
          <w:bCs/>
          <w:i/>
          <w:iCs/>
        </w:rPr>
        <w:t xml:space="preserve"> </w:t>
      </w:r>
      <w:r>
        <w:rPr>
          <w:b/>
          <w:bCs/>
          <w:i/>
          <w:iCs/>
          <w:highlight w:val="white"/>
        </w:rPr>
        <w:t xml:space="preserve">количества эксплуатационных скважин. </w:t>
      </w:r>
    </w:p>
    <w:p w:rsidR="00A02ECF" w:rsidRDefault="006104A2">
      <w:pPr>
        <w:spacing w:before="60"/>
        <w:jc w:val="both"/>
        <w:rPr>
          <w:b/>
          <w:bCs/>
          <w:i/>
          <w:iCs/>
        </w:rPr>
      </w:pPr>
      <w:r>
        <w:rPr>
          <w:b/>
          <w:bCs/>
          <w:i/>
          <w:iCs/>
        </w:rPr>
        <w:t>В 2025 году</w:t>
      </w:r>
      <w:r>
        <w:rPr>
          <w:b/>
          <w:bCs/>
          <w:i/>
          <w:iCs/>
          <w:color w:val="000000"/>
        </w:rPr>
        <w:t xml:space="preserve"> Группой Газпром на территории Российской Федерации добыто </w:t>
      </w:r>
      <w:r>
        <w:rPr>
          <w:rFonts w:eastAsia="Calibri"/>
          <w:b/>
          <w:bCs/>
          <w:i/>
          <w:iCs/>
          <w:color w:val="000000"/>
        </w:rPr>
        <w:t>75,59</w:t>
      </w:r>
      <w:r>
        <w:rPr>
          <w:b/>
          <w:bCs/>
          <w:i/>
          <w:iCs/>
          <w:color w:val="000000"/>
        </w:rPr>
        <w:t xml:space="preserve"> млн т нефти и газового </w:t>
      </w:r>
      <w:r>
        <w:rPr>
          <w:b/>
          <w:bCs/>
          <w:i/>
          <w:iCs/>
        </w:rPr>
        <w:t>конденсата</w:t>
      </w:r>
      <w:r w:rsidR="00EB6824">
        <w:rPr>
          <w:b/>
          <w:bCs/>
          <w:i/>
          <w:iCs/>
        </w:rPr>
        <w:t>.</w:t>
      </w:r>
      <w:r>
        <w:rPr>
          <w:b/>
          <w:bCs/>
          <w:i/>
          <w:iCs/>
          <w:color w:val="000000"/>
        </w:rPr>
        <w:t xml:space="preserve"> </w:t>
      </w:r>
      <w:r>
        <w:rPr>
          <w:b/>
          <w:bCs/>
          <w:i/>
          <w:iCs/>
        </w:rPr>
        <w:t>Показатели соответствуют уровню 2024 года.</w:t>
      </w:r>
    </w:p>
    <w:p w:rsidR="00A02ECF" w:rsidRDefault="006104A2">
      <w:pPr>
        <w:pStyle w:val="aff4"/>
        <w:ind w:left="0"/>
        <w:rPr>
          <w:b/>
          <w:szCs w:val="20"/>
          <w:lang w:val="ru-RU"/>
        </w:rPr>
      </w:pPr>
      <w:r>
        <w:rPr>
          <w:b/>
          <w:szCs w:val="20"/>
          <w:lang w:val="ru-RU"/>
        </w:rPr>
        <w:t>Объемы добычи ассоциированных организаций и совместных предприятий в доле, приходящейся на Группу Газпром, на территории Российской Федерации</w:t>
      </w:r>
    </w:p>
    <w:tbl>
      <w:tblPr>
        <w:tblW w:w="9072" w:type="dxa"/>
        <w:tblInd w:w="137" w:type="dxa"/>
        <w:tblLayout w:type="fixed"/>
        <w:tblLook w:val="04A0" w:firstRow="1" w:lastRow="0" w:firstColumn="1" w:lastColumn="0" w:noHBand="0" w:noVBand="1"/>
      </w:tblPr>
      <w:tblGrid>
        <w:gridCol w:w="3119"/>
        <w:gridCol w:w="1559"/>
        <w:gridCol w:w="1418"/>
        <w:gridCol w:w="1418"/>
        <w:gridCol w:w="1558"/>
      </w:tblGrid>
      <w:tr w:rsidR="00A02ECF">
        <w:tc>
          <w:tcPr>
            <w:tcW w:w="3119" w:type="dxa"/>
            <w:tcBorders>
              <w:top w:val="single" w:sz="4" w:space="0" w:color="000000"/>
              <w:left w:val="single" w:sz="4" w:space="0" w:color="000000"/>
              <w:bottom w:val="single" w:sz="4" w:space="0" w:color="000000"/>
              <w:right w:val="single" w:sz="4" w:space="0" w:color="000000"/>
            </w:tcBorders>
            <w:vAlign w:val="center"/>
          </w:tcPr>
          <w:p w:rsidR="00A02ECF" w:rsidRDefault="00A02ECF">
            <w:pPr>
              <w:ind w:left="-393"/>
              <w:rPr>
                <w:b/>
                <w:bCs/>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A02ECF" w:rsidRDefault="006104A2">
            <w:pPr>
              <w:jc w:val="center"/>
              <w:rPr>
                <w:b/>
                <w:bCs/>
              </w:rPr>
            </w:pPr>
            <w:r>
              <w:rPr>
                <w:rFonts w:eastAsia="Calibri"/>
                <w:b/>
              </w:rPr>
              <w:t>Единицы измерения</w:t>
            </w:r>
          </w:p>
        </w:tc>
        <w:tc>
          <w:tcPr>
            <w:tcW w:w="1418" w:type="dxa"/>
            <w:tcBorders>
              <w:top w:val="single" w:sz="4" w:space="0" w:color="000000"/>
              <w:left w:val="single" w:sz="4" w:space="0" w:color="000000"/>
              <w:bottom w:val="single" w:sz="4" w:space="0" w:color="000000"/>
              <w:right w:val="single" w:sz="4" w:space="0" w:color="000000"/>
            </w:tcBorders>
            <w:vAlign w:val="center"/>
          </w:tcPr>
          <w:p w:rsidR="00A02ECF" w:rsidRDefault="006104A2">
            <w:pPr>
              <w:jc w:val="right"/>
              <w:rPr>
                <w:b/>
                <w:bCs/>
              </w:rPr>
            </w:pPr>
            <w:r>
              <w:rPr>
                <w:b/>
                <w:bCs/>
              </w:rPr>
              <w:t>2024 г.</w:t>
            </w:r>
          </w:p>
        </w:tc>
        <w:tc>
          <w:tcPr>
            <w:tcW w:w="1418" w:type="dxa"/>
            <w:tcBorders>
              <w:top w:val="single" w:sz="4" w:space="0" w:color="000000"/>
              <w:left w:val="single" w:sz="4" w:space="0" w:color="000000"/>
              <w:bottom w:val="single" w:sz="4" w:space="0" w:color="000000"/>
              <w:right w:val="single" w:sz="4" w:space="0" w:color="000000"/>
            </w:tcBorders>
            <w:vAlign w:val="center"/>
          </w:tcPr>
          <w:p w:rsidR="00A02ECF" w:rsidRDefault="006104A2">
            <w:pPr>
              <w:keepNext/>
              <w:keepLines/>
              <w:spacing w:before="60" w:after="60"/>
              <w:jc w:val="right"/>
              <w:rPr>
                <w:b/>
                <w:color w:val="000000"/>
              </w:rPr>
            </w:pPr>
            <w:r>
              <w:rPr>
                <w:b/>
              </w:rPr>
              <w:t>2025 г.</w:t>
            </w:r>
          </w:p>
        </w:tc>
        <w:tc>
          <w:tcPr>
            <w:tcW w:w="1558" w:type="dxa"/>
            <w:tcBorders>
              <w:top w:val="single" w:sz="4" w:space="0" w:color="000000"/>
              <w:left w:val="single" w:sz="4" w:space="0" w:color="000000"/>
              <w:bottom w:val="single" w:sz="4" w:space="0" w:color="000000"/>
              <w:right w:val="single" w:sz="4" w:space="0" w:color="000000"/>
            </w:tcBorders>
            <w:vAlign w:val="center"/>
          </w:tcPr>
          <w:p w:rsidR="00A02ECF" w:rsidRDefault="006104A2">
            <w:pPr>
              <w:keepNext/>
              <w:keepLines/>
              <w:ind w:left="176"/>
              <w:jc w:val="center"/>
              <w:rPr>
                <w:b/>
              </w:rPr>
            </w:pPr>
            <w:r>
              <w:rPr>
                <w:b/>
              </w:rPr>
              <w:t>Изменение (%)</w:t>
            </w:r>
          </w:p>
        </w:tc>
      </w:tr>
      <w:tr w:rsidR="00A02ECF">
        <w:tc>
          <w:tcPr>
            <w:tcW w:w="3119" w:type="dxa"/>
            <w:tcBorders>
              <w:top w:val="single" w:sz="4" w:space="0" w:color="000000"/>
              <w:left w:val="single" w:sz="4" w:space="0" w:color="000000"/>
              <w:bottom w:val="single" w:sz="4" w:space="0" w:color="000000"/>
              <w:right w:val="single" w:sz="4" w:space="0" w:color="000000"/>
            </w:tcBorders>
          </w:tcPr>
          <w:p w:rsidR="00A02ECF" w:rsidRDefault="006104A2">
            <w:r>
              <w:t>Природный и попутный газ</w:t>
            </w:r>
          </w:p>
        </w:tc>
        <w:tc>
          <w:tcPr>
            <w:tcW w:w="1559" w:type="dxa"/>
            <w:tcBorders>
              <w:top w:val="single" w:sz="4" w:space="0" w:color="000000"/>
              <w:left w:val="single" w:sz="4" w:space="0" w:color="000000"/>
              <w:bottom w:val="single" w:sz="4" w:space="0" w:color="000000"/>
              <w:right w:val="single" w:sz="4" w:space="0" w:color="000000"/>
            </w:tcBorders>
          </w:tcPr>
          <w:p w:rsidR="00A02ECF" w:rsidRDefault="006104A2">
            <w:pPr>
              <w:jc w:val="both"/>
            </w:pPr>
            <w:r>
              <w:t>млрд куб. м</w:t>
            </w:r>
          </w:p>
        </w:tc>
        <w:tc>
          <w:tcPr>
            <w:tcW w:w="1418" w:type="dxa"/>
            <w:tcBorders>
              <w:top w:val="single" w:sz="4" w:space="0" w:color="000000"/>
              <w:left w:val="single" w:sz="4" w:space="0" w:color="000000"/>
              <w:bottom w:val="single" w:sz="4" w:space="0" w:color="000000"/>
              <w:right w:val="single" w:sz="4" w:space="0" w:color="000000"/>
            </w:tcBorders>
          </w:tcPr>
          <w:p w:rsidR="00A02ECF" w:rsidRDefault="006104A2">
            <w:pPr>
              <w:jc w:val="right"/>
            </w:pPr>
            <w:r>
              <w:rPr>
                <w:color w:val="000000"/>
              </w:rPr>
              <w:t>24,90</w:t>
            </w:r>
          </w:p>
        </w:tc>
        <w:tc>
          <w:tcPr>
            <w:tcW w:w="1418" w:type="dxa"/>
            <w:tcBorders>
              <w:top w:val="single" w:sz="4" w:space="0" w:color="000000"/>
              <w:left w:val="single" w:sz="4" w:space="0" w:color="000000"/>
              <w:bottom w:val="single" w:sz="4" w:space="0" w:color="000000"/>
              <w:right w:val="single" w:sz="4" w:space="0" w:color="000000"/>
            </w:tcBorders>
          </w:tcPr>
          <w:p w:rsidR="00A02ECF" w:rsidRDefault="006104A2">
            <w:pPr>
              <w:spacing w:before="40"/>
              <w:jc w:val="right"/>
              <w:rPr>
                <w:color w:val="000000"/>
              </w:rPr>
            </w:pPr>
            <w:r>
              <w:t>22,62</w:t>
            </w:r>
          </w:p>
        </w:tc>
        <w:tc>
          <w:tcPr>
            <w:tcW w:w="1558" w:type="dxa"/>
            <w:tcBorders>
              <w:top w:val="single" w:sz="4" w:space="0" w:color="000000"/>
              <w:left w:val="single" w:sz="4" w:space="0" w:color="000000"/>
              <w:bottom w:val="single" w:sz="4" w:space="0" w:color="000000"/>
              <w:right w:val="single" w:sz="4" w:space="0" w:color="000000"/>
            </w:tcBorders>
          </w:tcPr>
          <w:p w:rsidR="00A02ECF" w:rsidRDefault="006104A2">
            <w:pPr>
              <w:spacing w:before="40"/>
              <w:jc w:val="right"/>
              <w:rPr>
                <w:color w:val="000000"/>
              </w:rPr>
            </w:pPr>
            <w:r>
              <w:t>-9,16</w:t>
            </w:r>
          </w:p>
        </w:tc>
      </w:tr>
      <w:tr w:rsidR="00A02ECF">
        <w:tc>
          <w:tcPr>
            <w:tcW w:w="3119" w:type="dxa"/>
            <w:tcBorders>
              <w:top w:val="single" w:sz="4" w:space="0" w:color="000000"/>
              <w:left w:val="single" w:sz="4" w:space="0" w:color="000000"/>
              <w:bottom w:val="single" w:sz="4" w:space="0" w:color="000000"/>
              <w:right w:val="single" w:sz="4" w:space="0" w:color="000000"/>
            </w:tcBorders>
          </w:tcPr>
          <w:p w:rsidR="00A02ECF" w:rsidRDefault="006104A2">
            <w:r>
              <w:t>Нефть и газовый конденсат</w:t>
            </w:r>
          </w:p>
        </w:tc>
        <w:tc>
          <w:tcPr>
            <w:tcW w:w="1559" w:type="dxa"/>
            <w:tcBorders>
              <w:top w:val="single" w:sz="4" w:space="0" w:color="000000"/>
              <w:left w:val="single" w:sz="4" w:space="0" w:color="000000"/>
              <w:bottom w:val="single" w:sz="4" w:space="0" w:color="000000"/>
              <w:right w:val="single" w:sz="4" w:space="0" w:color="000000"/>
            </w:tcBorders>
          </w:tcPr>
          <w:p w:rsidR="00A02ECF" w:rsidRDefault="006104A2">
            <w:r>
              <w:t>млн т</w:t>
            </w:r>
          </w:p>
        </w:tc>
        <w:tc>
          <w:tcPr>
            <w:tcW w:w="1418" w:type="dxa"/>
            <w:tcBorders>
              <w:top w:val="single" w:sz="4" w:space="0" w:color="000000"/>
              <w:left w:val="single" w:sz="4" w:space="0" w:color="000000"/>
              <w:bottom w:val="single" w:sz="4" w:space="0" w:color="000000"/>
              <w:right w:val="single" w:sz="4" w:space="0" w:color="000000"/>
            </w:tcBorders>
          </w:tcPr>
          <w:p w:rsidR="00A02ECF" w:rsidRDefault="006104A2">
            <w:pPr>
              <w:jc w:val="right"/>
            </w:pPr>
            <w:r>
              <w:t>15,53</w:t>
            </w:r>
          </w:p>
        </w:tc>
        <w:tc>
          <w:tcPr>
            <w:tcW w:w="1418" w:type="dxa"/>
            <w:tcBorders>
              <w:top w:val="single" w:sz="4" w:space="0" w:color="000000"/>
              <w:left w:val="single" w:sz="4" w:space="0" w:color="000000"/>
              <w:bottom w:val="single" w:sz="4" w:space="0" w:color="000000"/>
              <w:right w:val="single" w:sz="4" w:space="0" w:color="000000"/>
            </w:tcBorders>
          </w:tcPr>
          <w:p w:rsidR="00A02ECF" w:rsidRDefault="006104A2">
            <w:pPr>
              <w:jc w:val="right"/>
              <w:rPr>
                <w:color w:val="000000"/>
              </w:rPr>
            </w:pPr>
            <w:r>
              <w:t>15,39</w:t>
            </w:r>
          </w:p>
        </w:tc>
        <w:tc>
          <w:tcPr>
            <w:tcW w:w="1558" w:type="dxa"/>
            <w:tcBorders>
              <w:top w:val="single" w:sz="4" w:space="0" w:color="000000"/>
              <w:left w:val="single" w:sz="4" w:space="0" w:color="000000"/>
              <w:bottom w:val="single" w:sz="4" w:space="0" w:color="000000"/>
              <w:right w:val="single" w:sz="4" w:space="0" w:color="000000"/>
            </w:tcBorders>
          </w:tcPr>
          <w:p w:rsidR="00A02ECF" w:rsidRDefault="006104A2">
            <w:pPr>
              <w:spacing w:before="40"/>
              <w:jc w:val="right"/>
              <w:rPr>
                <w:color w:val="000000"/>
              </w:rPr>
            </w:pPr>
            <w:r>
              <w:t>-0,90</w:t>
            </w:r>
          </w:p>
        </w:tc>
      </w:tr>
    </w:tbl>
    <w:p w:rsidR="00A02ECF" w:rsidRDefault="006104A2">
      <w:pPr>
        <w:spacing w:before="120"/>
        <w:jc w:val="both"/>
        <w:rPr>
          <w:b/>
          <w:bCs/>
          <w:i/>
          <w:iCs/>
        </w:rPr>
      </w:pPr>
      <w:r>
        <w:rPr>
          <w:b/>
          <w:bCs/>
          <w:i/>
          <w:iCs/>
        </w:rPr>
        <w:t>Ассоциированными организациями и совместными предприятиями в доле, приходящейся на Группу</w:t>
      </w:r>
      <w:r>
        <w:rPr>
          <w:b/>
          <w:bCs/>
          <w:i/>
          <w:iCs/>
          <w:lang w:val="en-US"/>
        </w:rPr>
        <w:t> </w:t>
      </w:r>
      <w:r>
        <w:rPr>
          <w:b/>
          <w:bCs/>
          <w:i/>
          <w:iCs/>
        </w:rPr>
        <w:t xml:space="preserve">Газпром, в 2025 году добыто 22,62 млрд куб. м природного и попутного газа, а также 15,39 млн т жидких углеводородов. Снижение </w:t>
      </w:r>
      <w:r>
        <w:rPr>
          <w:b/>
          <w:i/>
        </w:rPr>
        <w:t xml:space="preserve">объемов добычи природного и попутного газа ассоциированными организациями и совместными предприятиями в доле, приходящейся на Группу Газпром, </w:t>
      </w:r>
      <w:r>
        <w:rPr>
          <w:b/>
          <w:bCs/>
          <w:i/>
          <w:iCs/>
        </w:rPr>
        <w:t>в основном связано с отражением объемов добываемого газа ООО</w:t>
      </w:r>
      <w:r>
        <w:rPr>
          <w:b/>
          <w:bCs/>
          <w:i/>
          <w:iCs/>
          <w:lang w:val="en-US"/>
        </w:rPr>
        <w:t> </w:t>
      </w:r>
      <w:r>
        <w:rPr>
          <w:b/>
          <w:bCs/>
          <w:i/>
          <w:iCs/>
        </w:rPr>
        <w:t xml:space="preserve">«Сахалинская Энергия» в объемах добычи Группы Газпром в связи с получением контроля над деятельностью этой организации, учитывавшейся до конца марта 2024 года в качестве ассоциированной организации. </w:t>
      </w:r>
      <w:r>
        <w:rPr>
          <w:b/>
          <w:i/>
        </w:rPr>
        <w:t xml:space="preserve">Объемы добычи жидких углеводородов </w:t>
      </w:r>
      <w:r>
        <w:rPr>
          <w:b/>
          <w:bCs/>
          <w:i/>
          <w:iCs/>
        </w:rPr>
        <w:t>соответствуют уровню 2024 года.</w:t>
      </w:r>
    </w:p>
    <w:p w:rsidR="00A02ECF" w:rsidRDefault="006104A2">
      <w:pPr>
        <w:spacing w:before="120"/>
        <w:jc w:val="both"/>
        <w:rPr>
          <w:b/>
          <w:bCs/>
          <w:i/>
          <w:iCs/>
        </w:rPr>
      </w:pPr>
      <w:r>
        <w:rPr>
          <w:b/>
          <w:bCs/>
          <w:i/>
          <w:iCs/>
        </w:rPr>
        <w:t>На объемы добычи жидких углеводородов Группой Газпром, а также ассоциированными организациями и совместными предприятиями продолжила оказывать влияние необходимость соблюдения квоты, установленной Минэнерго России в рамках соглашения «ОПЕК+».</w:t>
      </w:r>
    </w:p>
    <w:p w:rsidR="00A02ECF" w:rsidRDefault="00A02ECF">
      <w:pPr>
        <w:spacing w:before="0" w:after="0"/>
        <w:jc w:val="both"/>
        <w:rPr>
          <w:b/>
          <w:bCs/>
          <w:i/>
          <w:iCs/>
        </w:rPr>
      </w:pPr>
    </w:p>
    <w:p w:rsidR="00A02ECF" w:rsidRDefault="006104A2">
      <w:pPr>
        <w:spacing w:before="80" w:after="0"/>
        <w:jc w:val="both"/>
        <w:rPr>
          <w:b/>
          <w:bCs/>
          <w:u w:val="single"/>
        </w:rPr>
      </w:pPr>
      <w:r>
        <w:rPr>
          <w:b/>
          <w:u w:val="single"/>
        </w:rPr>
        <w:t>Транспортировка газа</w:t>
      </w:r>
    </w:p>
    <w:p w:rsidR="00A02ECF" w:rsidRDefault="006104A2">
      <w:pPr>
        <w:spacing w:before="120"/>
        <w:jc w:val="both"/>
        <w:rPr>
          <w:b/>
          <w:bCs/>
          <w:i/>
          <w:iCs/>
        </w:rPr>
      </w:pPr>
      <w:bookmarkStart w:id="63" w:name="_Hlk182824458"/>
      <w:bookmarkStart w:id="64" w:name="_Hlk195882985"/>
      <w:bookmarkStart w:id="65" w:name="_Hlk102547877"/>
      <w:bookmarkStart w:id="66" w:name="_Hlk102545565"/>
      <w:bookmarkEnd w:id="61"/>
      <w:bookmarkEnd w:id="62"/>
      <w:r>
        <w:rPr>
          <w:b/>
          <w:bCs/>
          <w:i/>
          <w:iCs/>
        </w:rPr>
        <w:t xml:space="preserve">Газпром является владельцем и оператором Единой системы газоснабжения (ЕСГ) России — централизованной системы по добыче, переработке, подготовке, транспортировке, хранению природного газа. В состав ЕСГ входит крупнейшая в мире система магистральных газопроводов (далее — МГ) высокого давления на территории европейской части России и Западной Сибири. Кроме того, Газпром владеет МГ на Востоке страны, среди которых такие МГ, как «Сила Сибири», Сахалин — Хабаровск — Владивосток, Соболево — Петропавловск-Камчатский. Газотранспортные дочерние общества ПАО «Газпром» также осуществляют эксплуатацию и обслуживание МГ (в основном газопроводов-отводов), находящихся на балансе организаций, не входящих в Группу Газпром. </w:t>
      </w:r>
    </w:p>
    <w:p w:rsidR="00A02ECF" w:rsidRDefault="006104A2">
      <w:pPr>
        <w:spacing w:before="120"/>
        <w:jc w:val="both"/>
        <w:rPr>
          <w:b/>
          <w:bCs/>
          <w:i/>
          <w:iCs/>
          <w:color w:val="000000"/>
        </w:rPr>
      </w:pPr>
      <w:r>
        <w:rPr>
          <w:b/>
          <w:bCs/>
          <w:i/>
          <w:iCs/>
          <w:color w:val="000000"/>
        </w:rPr>
        <w:t>Протяженность МГ и газопроводов-отводов, эксплуатируемых газотранспортными обществами Группы Газпром на территории России, по состоянию на 31 декабря 2025 года составила 182,3 тыс. км (на 31 декабря 2024</w:t>
      </w:r>
      <w:r>
        <w:rPr>
          <w:b/>
          <w:bCs/>
          <w:i/>
          <w:iCs/>
          <w:color w:val="000000"/>
          <w:lang w:val="en-US"/>
        </w:rPr>
        <w:t> </w:t>
      </w:r>
      <w:r>
        <w:rPr>
          <w:b/>
          <w:bCs/>
          <w:i/>
          <w:iCs/>
          <w:color w:val="000000"/>
        </w:rPr>
        <w:t>г. – 181,6 тыс. км). Увеличение показателя по сравнению с уровнем предшествующего года связано в основном с вводом в эксплуатацию новых магистральных газопроводов и</w:t>
      </w:r>
      <w:r>
        <w:rPr>
          <w:b/>
          <w:bCs/>
          <w:i/>
          <w:iCs/>
          <w:color w:val="000000"/>
          <w:lang w:val="en-US"/>
        </w:rPr>
        <w:t> </w:t>
      </w:r>
      <w:r>
        <w:rPr>
          <w:b/>
          <w:bCs/>
          <w:i/>
          <w:iCs/>
          <w:color w:val="000000"/>
        </w:rPr>
        <w:t>газопроводов-отводов, в том числе газопроводов-отводов в рамках реализации программ развития газоснабжения и газификации регионов Российской Федерации.</w:t>
      </w:r>
    </w:p>
    <w:p w:rsidR="00A02ECF" w:rsidRDefault="006104A2">
      <w:pPr>
        <w:pStyle w:val="Default"/>
        <w:spacing w:before="120"/>
        <w:ind w:left="0"/>
        <w:jc w:val="both"/>
        <w:rPr>
          <w:b/>
          <w:bCs/>
          <w:i/>
          <w:iCs/>
          <w:color w:val="FF0000"/>
          <w:sz w:val="20"/>
          <w:szCs w:val="20"/>
        </w:rPr>
      </w:pPr>
      <w:r>
        <w:rPr>
          <w:b/>
          <w:bCs/>
          <w:i/>
          <w:iCs/>
          <w:sz w:val="20"/>
          <w:szCs w:val="20"/>
        </w:rPr>
        <w:t xml:space="preserve">В 2025 году в ГТС Газпрома на территории России поступило </w:t>
      </w:r>
      <w:r>
        <w:rPr>
          <w:rFonts w:eastAsia="Aptos"/>
          <w:b/>
          <w:bCs/>
          <w:i/>
          <w:iCs/>
          <w:sz w:val="20"/>
          <w:szCs w:val="20"/>
        </w:rPr>
        <w:t>584,03</w:t>
      </w:r>
      <w:r>
        <w:rPr>
          <w:b/>
          <w:bCs/>
          <w:sz w:val="20"/>
          <w:szCs w:val="20"/>
        </w:rPr>
        <w:t xml:space="preserve"> </w:t>
      </w:r>
      <w:r>
        <w:rPr>
          <w:b/>
          <w:bCs/>
          <w:i/>
          <w:iCs/>
          <w:sz w:val="20"/>
          <w:szCs w:val="20"/>
        </w:rPr>
        <w:t xml:space="preserve">млрд куб. м газа (в 2024 году – </w:t>
      </w:r>
      <w:r>
        <w:rPr>
          <w:rFonts w:eastAsia="Aptos"/>
          <w:b/>
          <w:bCs/>
          <w:i/>
          <w:iCs/>
          <w:sz w:val="20"/>
          <w:szCs w:val="20"/>
        </w:rPr>
        <w:t>602,88</w:t>
      </w:r>
      <w:r>
        <w:rPr>
          <w:b/>
          <w:bCs/>
          <w:sz w:val="20"/>
          <w:szCs w:val="20"/>
        </w:rPr>
        <w:t> </w:t>
      </w:r>
      <w:r>
        <w:rPr>
          <w:b/>
          <w:bCs/>
          <w:i/>
          <w:iCs/>
          <w:sz w:val="20"/>
          <w:szCs w:val="20"/>
        </w:rPr>
        <w:t>млрд куб. м).</w:t>
      </w:r>
      <w:r>
        <w:rPr>
          <w:b/>
          <w:bCs/>
          <w:i/>
          <w:iCs/>
          <w:color w:val="FF0000"/>
          <w:sz w:val="20"/>
          <w:szCs w:val="20"/>
        </w:rPr>
        <w:t xml:space="preserve"> </w:t>
      </w:r>
    </w:p>
    <w:p w:rsidR="00A02ECF" w:rsidRDefault="006104A2">
      <w:pPr>
        <w:spacing w:before="120"/>
        <w:jc w:val="both"/>
        <w:rPr>
          <w:rFonts w:eastAsia="Calibri"/>
          <w:b/>
          <w:bCs/>
          <w:i/>
          <w:iCs/>
          <w:color w:val="000000" w:themeColor="text1"/>
          <w:lang w:eastAsia="en-US"/>
        </w:rPr>
      </w:pPr>
      <w:r>
        <w:rPr>
          <w:rFonts w:eastAsiaTheme="minorHAnsi"/>
          <w:b/>
          <w:bCs/>
          <w:i/>
          <w:iCs/>
          <w:color w:val="000000" w:themeColor="text1"/>
        </w:rPr>
        <w:t>Уменьшение данного показателя по сравнению с уровнем предшествующего года обусловлено снижением объемов поставки газа потребителям Российской Федерации в связи со снижением потребления, что было обусловлено более теплыми погодными условиями в осенне-зимние периоды 2025 года.</w:t>
      </w:r>
      <w:r>
        <w:t xml:space="preserve"> </w:t>
      </w:r>
      <w:r>
        <w:rPr>
          <w:b/>
          <w:bCs/>
          <w:i/>
          <w:color w:val="000000" w:themeColor="text1"/>
        </w:rPr>
        <w:t>При этом при резких похолоданиях подача газа оперативно увеличивалась в необходимых объемах. В частности, в апреле 2025 года, после завершения осенне-зимнего периода 2024/2025 г. в России, был дважды обновлен суточный рекорд поставок из ЕСГ, что   было обусловлено аномально холодной погодой в Северо-Западном, Центральном и Южном федеральных округах.</w:t>
      </w:r>
    </w:p>
    <w:p w:rsidR="00A02ECF" w:rsidRDefault="006104A2">
      <w:pPr>
        <w:spacing w:before="120"/>
        <w:jc w:val="both"/>
        <w:rPr>
          <w:b/>
          <w:bCs/>
          <w:i/>
          <w:iCs/>
          <w:color w:val="000000"/>
        </w:rPr>
      </w:pPr>
      <w:r>
        <w:rPr>
          <w:b/>
          <w:bCs/>
          <w:i/>
          <w:iCs/>
          <w:color w:val="000000"/>
        </w:rPr>
        <w:t>ПАО «Газпром», являясь владельцем ГТС на территории Российской Федерации, предоставляет доступ независимым организациям на условиях и в порядке, определяемых Положением об обеспечении доступа независимых организаций к газотранспортной системе ОАО «Газпром», утвержденным постановлением Правительства Российской Федерации от 14 июля 1997 года № 858 «Об обеспечении доступа независимых организаций к газотранспортной системе ОАО «Газпром».</w:t>
      </w:r>
    </w:p>
    <w:p w:rsidR="00A02ECF" w:rsidRDefault="006104A2">
      <w:pPr>
        <w:spacing w:before="120"/>
        <w:jc w:val="both"/>
        <w:rPr>
          <w:b/>
          <w:bCs/>
          <w:i/>
          <w:iCs/>
          <w:color w:val="000000"/>
        </w:rPr>
      </w:pPr>
      <w:bookmarkStart w:id="67" w:name="_Hlk230093561"/>
      <w:r>
        <w:rPr>
          <w:b/>
          <w:bCs/>
          <w:i/>
          <w:iCs/>
          <w:color w:val="000000"/>
        </w:rPr>
        <w:t>Доступ предоставляется организациям, добывающим газ, нефтяным компаниям, поставляющим газ в ГТС ПАО «Газпром», а также организациям, которые на законных основаниях приобрели газ у независимых производителей для его реализации при наличии свободных мощностей в магистральных газопроводах и соответствия качества газа техническим стандартам.</w:t>
      </w:r>
    </w:p>
    <w:p w:rsidR="00A02ECF" w:rsidRDefault="006104A2">
      <w:pPr>
        <w:spacing w:before="120"/>
        <w:jc w:val="both"/>
        <w:rPr>
          <w:b/>
          <w:bCs/>
          <w:i/>
          <w:iCs/>
          <w:color w:val="000000"/>
        </w:rPr>
      </w:pPr>
      <w:r>
        <w:rPr>
          <w:b/>
          <w:bCs/>
          <w:i/>
          <w:iCs/>
        </w:rPr>
        <w:t xml:space="preserve">В 2025 году рассмотрено </w:t>
      </w:r>
      <w:bookmarkStart w:id="68" w:name="_Hlk122341556"/>
      <w:r>
        <w:rPr>
          <w:b/>
          <w:bCs/>
          <w:i/>
          <w:iCs/>
        </w:rPr>
        <w:t>98</w:t>
      </w:r>
      <w:bookmarkEnd w:id="68"/>
      <w:r>
        <w:rPr>
          <w:b/>
          <w:bCs/>
          <w:i/>
          <w:iCs/>
        </w:rPr>
        <w:t xml:space="preserve"> заявок на доступ к ГТС ПАО «Газпром» 14 независимых организаций, </w:t>
      </w:r>
      <w:r>
        <w:rPr>
          <w:b/>
          <w:bCs/>
          <w:i/>
          <w:iCs/>
        </w:rPr>
        <w:lastRenderedPageBreak/>
        <w:t>выдано 92</w:t>
      </w:r>
      <w:r>
        <w:rPr>
          <w:rFonts w:eastAsia="Calibri"/>
          <w:b/>
          <w:bCs/>
          <w:color w:val="000000"/>
        </w:rPr>
        <w:t> </w:t>
      </w:r>
      <w:r>
        <w:rPr>
          <w:b/>
          <w:bCs/>
          <w:i/>
          <w:iCs/>
        </w:rPr>
        <w:t>разрешения, отказано по 3 заявкам,  3 заявки отзывались/возвращалась заявителю в связи с несоответствием положению об обеспечении доступа</w:t>
      </w:r>
      <w:r>
        <w:rPr>
          <w:b/>
          <w:bCs/>
          <w:i/>
          <w:iCs/>
          <w:color w:val="000000"/>
        </w:rPr>
        <w:t xml:space="preserve">. </w:t>
      </w:r>
      <w:bookmarkEnd w:id="67"/>
    </w:p>
    <w:p w:rsidR="00A02ECF" w:rsidRDefault="006104A2">
      <w:pPr>
        <w:spacing w:before="120"/>
        <w:jc w:val="both"/>
        <w:rPr>
          <w:b/>
          <w:bCs/>
          <w:i/>
          <w:iCs/>
        </w:rPr>
      </w:pPr>
      <w:r>
        <w:rPr>
          <w:b/>
          <w:bCs/>
          <w:i/>
          <w:iCs/>
        </w:rPr>
        <w:t xml:space="preserve">С учетом заявок, рассмотренных в предыдущие годы, разрешения на транспортировку газа в 2025 году выданы </w:t>
      </w:r>
      <w:r>
        <w:rPr>
          <w:rFonts w:eastAsia="Calibri"/>
          <w:b/>
          <w:bCs/>
          <w:i/>
          <w:iCs/>
          <w:color w:val="000000"/>
        </w:rPr>
        <w:t>15</w:t>
      </w:r>
      <w:r>
        <w:rPr>
          <w:b/>
          <w:bCs/>
          <w:i/>
          <w:iCs/>
        </w:rPr>
        <w:t xml:space="preserve">-ти организациям с общим объемом до </w:t>
      </w:r>
      <w:r>
        <w:rPr>
          <w:rFonts w:eastAsia="Calibri"/>
          <w:b/>
          <w:bCs/>
          <w:i/>
          <w:iCs/>
          <w:color w:val="000000"/>
        </w:rPr>
        <w:t xml:space="preserve">130,8 </w:t>
      </w:r>
      <w:r>
        <w:rPr>
          <w:b/>
          <w:bCs/>
          <w:i/>
          <w:iCs/>
        </w:rPr>
        <w:t>млрд куб. м.</w:t>
      </w:r>
    </w:p>
    <w:p w:rsidR="00A02ECF" w:rsidRDefault="006104A2">
      <w:pPr>
        <w:spacing w:before="80"/>
        <w:jc w:val="both"/>
        <w:rPr>
          <w:i/>
          <w:iCs/>
          <w:sz w:val="22"/>
          <w:szCs w:val="22"/>
        </w:rPr>
      </w:pPr>
      <w:r>
        <w:rPr>
          <w:b/>
          <w:bCs/>
          <w:i/>
          <w:iCs/>
        </w:rPr>
        <w:t xml:space="preserve">Основными потребителями услуг транспортировки газа в 2025 году являлись ПАО «НОВАТЭК» (разрешенный объем транспортировки газа в 2025 году – </w:t>
      </w:r>
      <w:r>
        <w:rPr>
          <w:rFonts w:eastAsia="Calibri"/>
          <w:b/>
          <w:bCs/>
          <w:i/>
          <w:iCs/>
          <w:color w:val="000000"/>
        </w:rPr>
        <w:t>72,6</w:t>
      </w:r>
      <w:r>
        <w:rPr>
          <w:b/>
          <w:bCs/>
          <w:i/>
          <w:iCs/>
        </w:rPr>
        <w:t xml:space="preserve"> млрд куб. м) и ПАО «НК «Роснефть» (разрешенный объем транспортировки газа в 2025 году – </w:t>
      </w:r>
      <w:r>
        <w:rPr>
          <w:rFonts w:eastAsia="Calibri"/>
          <w:b/>
          <w:bCs/>
          <w:i/>
          <w:iCs/>
          <w:color w:val="000000"/>
        </w:rPr>
        <w:t>50,6</w:t>
      </w:r>
      <w:r>
        <w:rPr>
          <w:b/>
          <w:bCs/>
          <w:i/>
          <w:iCs/>
        </w:rPr>
        <w:t> млрд куб м).</w:t>
      </w:r>
    </w:p>
    <w:p w:rsidR="00A02ECF" w:rsidRDefault="006104A2">
      <w:pPr>
        <w:spacing w:before="120"/>
        <w:jc w:val="both"/>
        <w:rPr>
          <w:b/>
          <w:bCs/>
          <w:i/>
          <w:iCs/>
          <w:color w:val="000000"/>
        </w:rPr>
      </w:pPr>
      <w:bookmarkStart w:id="69" w:name="_Hlk217295548"/>
      <w:r>
        <w:rPr>
          <w:b/>
          <w:bCs/>
          <w:i/>
          <w:iCs/>
          <w:color w:val="000000"/>
        </w:rPr>
        <w:t xml:space="preserve">Уникальная по размерам и качественным параметрам ГТС обеспечивает высокую надежность поставок газа потребителям в России и за рубежом. Основу надежности поставок газа составляет непрерывное развитие ГТС: создание новых, высокотехнологичных газопроводов; реконструкция, модернизация, техническое перевооружение действующих мощностей; реализация программы по выводу избыточных газотранспортных мощностей. </w:t>
      </w:r>
      <w:bookmarkEnd w:id="69"/>
    </w:p>
    <w:p w:rsidR="00A02ECF" w:rsidRDefault="00A02ECF">
      <w:pPr>
        <w:spacing w:before="0" w:after="0"/>
        <w:rPr>
          <w:b/>
          <w:u w:val="single"/>
        </w:rPr>
      </w:pPr>
    </w:p>
    <w:p w:rsidR="00A02ECF" w:rsidRDefault="006104A2">
      <w:pPr>
        <w:rPr>
          <w:b/>
          <w:u w:val="single"/>
        </w:rPr>
      </w:pPr>
      <w:r>
        <w:rPr>
          <w:b/>
          <w:u w:val="single"/>
        </w:rPr>
        <w:t>Продажа газа в Российской Федерации и за ее пределами</w:t>
      </w:r>
    </w:p>
    <w:p w:rsidR="00A02ECF" w:rsidRDefault="006104A2">
      <w:pPr>
        <w:spacing w:before="120" w:after="0"/>
        <w:jc w:val="both"/>
        <w:rPr>
          <w:b/>
          <w:bCs/>
          <w:i/>
          <w:iCs/>
          <w:color w:val="000000"/>
        </w:rPr>
      </w:pPr>
      <w:bookmarkStart w:id="70" w:name="_Hlk102547582"/>
      <w:bookmarkStart w:id="71" w:name="_Hlk135820155"/>
      <w:bookmarkStart w:id="72" w:name="_Hlk182824512"/>
      <w:bookmarkStart w:id="73" w:name="_Hlk197513842"/>
      <w:bookmarkEnd w:id="63"/>
      <w:bookmarkEnd w:id="64"/>
      <w:bookmarkEnd w:id="65"/>
      <w:bookmarkEnd w:id="66"/>
      <w:r>
        <w:rPr>
          <w:b/>
          <w:bCs/>
          <w:i/>
          <w:iCs/>
          <w:color w:val="000000"/>
        </w:rPr>
        <w:t xml:space="preserve">В 2025 году Группа Газпром реализовала на внутреннем и внешних рынках </w:t>
      </w:r>
      <w:r>
        <w:rPr>
          <w:rFonts w:eastAsia="Calibri"/>
          <w:b/>
          <w:bCs/>
          <w:i/>
          <w:color w:val="000000"/>
        </w:rPr>
        <w:t>348,8</w:t>
      </w:r>
      <w:r>
        <w:t> </w:t>
      </w:r>
      <w:r>
        <w:rPr>
          <w:b/>
          <w:bCs/>
          <w:i/>
          <w:iCs/>
          <w:color w:val="000000"/>
        </w:rPr>
        <w:t>млрд куб. м</w:t>
      </w:r>
      <w:r>
        <w:rPr>
          <w:b/>
          <w:bCs/>
          <w:i/>
          <w:iCs/>
          <w:color w:val="000000"/>
          <w:vertAlign w:val="superscript"/>
        </w:rPr>
        <w:t xml:space="preserve"> </w:t>
      </w:r>
      <w:r>
        <w:rPr>
          <w:b/>
          <w:bCs/>
          <w:i/>
          <w:iCs/>
          <w:color w:val="000000"/>
        </w:rPr>
        <w:t xml:space="preserve">газа (в 2024 году – 361,7 млрд куб. м). </w:t>
      </w:r>
    </w:p>
    <w:p w:rsidR="00A02ECF" w:rsidRDefault="006104A2">
      <w:pPr>
        <w:spacing w:before="120" w:after="0"/>
        <w:jc w:val="both"/>
        <w:rPr>
          <w:b/>
          <w:bCs/>
          <w:i/>
          <w:iCs/>
          <w:color w:val="000000"/>
        </w:rPr>
      </w:pPr>
      <w:r>
        <w:rPr>
          <w:b/>
          <w:bCs/>
          <w:i/>
          <w:iCs/>
          <w:color w:val="000000"/>
        </w:rPr>
        <w:t xml:space="preserve">Потребление газа в отчетном году находилось под влиянием погодных, экономических и геополитических факторов. </w:t>
      </w:r>
      <w:bookmarkEnd w:id="70"/>
    </w:p>
    <w:p w:rsidR="00A02ECF" w:rsidRDefault="006104A2">
      <w:pPr>
        <w:spacing w:before="120" w:after="0"/>
        <w:jc w:val="both"/>
      </w:pPr>
      <w:r>
        <w:rPr>
          <w:b/>
          <w:bCs/>
          <w:i/>
          <w:iCs/>
          <w:color w:val="000000"/>
        </w:rPr>
        <w:t>В 2025 году Группа Газпром обеспечивала надежные поставки газа российским потребителям в необходимых объемах.</w:t>
      </w:r>
      <w:bookmarkEnd w:id="71"/>
      <w:r>
        <w:t xml:space="preserve"> </w:t>
      </w:r>
    </w:p>
    <w:p w:rsidR="00A02ECF" w:rsidRDefault="006104A2">
      <w:pPr>
        <w:pStyle w:val="affb"/>
        <w:spacing w:before="120"/>
        <w:rPr>
          <w:b/>
          <w:bCs/>
          <w:i/>
          <w:iCs/>
          <w:sz w:val="20"/>
        </w:rPr>
      </w:pPr>
      <w:r>
        <w:rPr>
          <w:b/>
          <w:bCs/>
          <w:i/>
          <w:iCs/>
          <w:sz w:val="20"/>
        </w:rPr>
        <w:t>Поставки российского трубопроводного газа в страны Европы существенно сократились в условиях прекращения транзита российского газа через территорию Украины с 1 января 2025 г. При этом в 2025 году увеличились объемы реализации в страны дальнего зарубежья по второй нитке МГ «Турецкий поток» за счет достижения новых договоренностей с покупателями, а также проведения мероприятий по оптимизации поставок на суточной основе.</w:t>
      </w:r>
    </w:p>
    <w:p w:rsidR="00A02ECF" w:rsidRDefault="006104A2">
      <w:pPr>
        <w:pStyle w:val="affb"/>
        <w:spacing w:before="100"/>
        <w:rPr>
          <w:rFonts w:eastAsia="Calibri"/>
          <w:b/>
          <w:bCs/>
          <w:i/>
          <w:iCs/>
          <w:sz w:val="20"/>
        </w:rPr>
      </w:pPr>
      <w:r>
        <w:rPr>
          <w:b/>
          <w:bCs/>
          <w:i/>
          <w:iCs/>
          <w:sz w:val="20"/>
        </w:rPr>
        <w:t>Поставки газа в Китай по МГ «Сила Сибири» продолжили увеличиваться в соответствии с контрактными обязательствами</w:t>
      </w:r>
      <w:r>
        <w:rPr>
          <w:b/>
          <w:bCs/>
          <w:i/>
          <w:iCs/>
          <w:sz w:val="20"/>
          <w:lang w:eastAsia="ja-JP"/>
        </w:rPr>
        <w:t>.</w:t>
      </w:r>
      <w:r>
        <w:rPr>
          <w:b/>
          <w:bCs/>
          <w:i/>
          <w:iCs/>
          <w:sz w:val="20"/>
        </w:rPr>
        <w:t xml:space="preserve"> По итогам 2025 года поставлено 38,84 </w:t>
      </w:r>
      <w:r>
        <w:rPr>
          <w:rFonts w:eastAsiaTheme="minorHAnsi" w:cstheme="minorBidi"/>
          <w:b/>
          <w:bCs/>
          <w:i/>
          <w:iCs/>
          <w:sz w:val="20"/>
          <w:lang w:eastAsia="en-US"/>
        </w:rPr>
        <w:t xml:space="preserve">млрд куб. м </w:t>
      </w:r>
      <w:r>
        <w:rPr>
          <w:b/>
          <w:bCs/>
          <w:i/>
          <w:iCs/>
          <w:sz w:val="20"/>
        </w:rPr>
        <w:t xml:space="preserve">природного газа, что на 24,8 % больше, чем в 2024 году. </w:t>
      </w:r>
      <w:r>
        <w:rPr>
          <w:rFonts w:eastAsiaTheme="minorHAnsi"/>
          <w:b/>
          <w:bCs/>
          <w:i/>
          <w:iCs/>
          <w:sz w:val="20"/>
          <w:lang w:eastAsia="en-US"/>
        </w:rPr>
        <w:t>Увеличение поставок трубопроводного газа ПАО «Газпром» произошло на фоне сокращения объемов импорта газа Китаем, преимущественно СПГ, что показывает высокую востребованность российского трубопроводного газа на китайском рынке.</w:t>
      </w:r>
    </w:p>
    <w:p w:rsidR="00A02ECF" w:rsidRDefault="006104A2">
      <w:pPr>
        <w:spacing w:before="100" w:after="0"/>
        <w:jc w:val="both"/>
        <w:rPr>
          <w:b/>
          <w:bCs/>
          <w:i/>
        </w:rPr>
      </w:pPr>
      <w:r>
        <w:rPr>
          <w:b/>
          <w:bCs/>
          <w:i/>
        </w:rPr>
        <w:t>Основу портфеля СПГ Группы Газпром составляют объемы, произведенные в рамках проекта «Сахалин – 2». Основными рынками сбыта являются Япония, Китай и Южная Корея.</w:t>
      </w:r>
    </w:p>
    <w:p w:rsidR="00A02ECF" w:rsidRDefault="00A02ECF">
      <w:pPr>
        <w:spacing w:before="0" w:after="0"/>
        <w:rPr>
          <w:b/>
          <w:u w:val="single"/>
        </w:rPr>
      </w:pPr>
    </w:p>
    <w:p w:rsidR="00A02ECF" w:rsidRDefault="006104A2">
      <w:pPr>
        <w:spacing w:before="80" w:after="0"/>
        <w:rPr>
          <w:b/>
          <w:u w:val="single"/>
        </w:rPr>
      </w:pPr>
      <w:r>
        <w:rPr>
          <w:b/>
          <w:u w:val="single"/>
        </w:rPr>
        <w:t xml:space="preserve">Подземное хранение газа </w:t>
      </w:r>
    </w:p>
    <w:p w:rsidR="00A02ECF" w:rsidRDefault="006104A2">
      <w:pPr>
        <w:spacing w:before="100" w:after="0"/>
        <w:jc w:val="both"/>
        <w:rPr>
          <w:b/>
          <w:bCs/>
          <w:i/>
          <w:iCs/>
          <w:color w:val="000000"/>
        </w:rPr>
      </w:pPr>
      <w:bookmarkStart w:id="74" w:name="_Hlk113528493"/>
      <w:bookmarkStart w:id="75" w:name="_Hlk122365448"/>
      <w:bookmarkEnd w:id="72"/>
      <w:r>
        <w:rPr>
          <w:b/>
          <w:bCs/>
          <w:i/>
          <w:iCs/>
          <w:color w:val="000000"/>
        </w:rPr>
        <w:t xml:space="preserve">ПХГ расположены в основных районах потребления газа, обеспечивают в отопительный период до 22% поставок газа российским потребителям, а в дни резких похолоданий эта величина достигает 44% от общего объема природного газа в ЕСГ. </w:t>
      </w:r>
    </w:p>
    <w:p w:rsidR="00A02ECF" w:rsidRDefault="006104A2">
      <w:pPr>
        <w:spacing w:before="100" w:after="0"/>
        <w:jc w:val="both"/>
        <w:rPr>
          <w:b/>
          <w:bCs/>
          <w:i/>
          <w:iCs/>
          <w:color w:val="000000"/>
        </w:rPr>
      </w:pPr>
      <w:r>
        <w:rPr>
          <w:b/>
          <w:bCs/>
          <w:i/>
          <w:iCs/>
          <w:color w:val="000000"/>
        </w:rPr>
        <w:t xml:space="preserve">Группа Газпром эксплуатирует на территории Российской Федерации 23 ПХГ в 27 геологических структурах: 17 –  в истощенных газовых месторождениях, 8 –  в водоносных пластах и 2 – в отложениях каменной соли. </w:t>
      </w:r>
    </w:p>
    <w:p w:rsidR="00A02ECF" w:rsidRDefault="006104A2">
      <w:pPr>
        <w:spacing w:before="100" w:after="0"/>
        <w:jc w:val="both"/>
        <w:rPr>
          <w:b/>
          <w:bCs/>
          <w:i/>
          <w:iCs/>
          <w:color w:val="000000"/>
        </w:rPr>
      </w:pPr>
      <w:r>
        <w:rPr>
          <w:b/>
          <w:bCs/>
          <w:i/>
          <w:iCs/>
          <w:color w:val="000000"/>
        </w:rPr>
        <w:t>В 2025 году фактически закачано 41,4 млрд куб. м газа (2024 год – 43,9 млрд куб. м). Отбор в отчетном периоде составил 39,6 млрд куб. м (2024 год – 42,2 млрд куб. м). Динамика показателей связана с режимами работы ЕСГ.</w:t>
      </w:r>
    </w:p>
    <w:p w:rsidR="00A02ECF" w:rsidRDefault="006104A2">
      <w:pPr>
        <w:spacing w:before="100" w:after="0"/>
        <w:jc w:val="both"/>
        <w:rPr>
          <w:b/>
          <w:bCs/>
          <w:i/>
          <w:iCs/>
          <w:color w:val="000000"/>
        </w:rPr>
      </w:pPr>
      <w:r>
        <w:rPr>
          <w:b/>
          <w:bCs/>
          <w:i/>
          <w:iCs/>
          <w:color w:val="000000"/>
        </w:rPr>
        <w:t xml:space="preserve">На начало сезона отбора 2025/2026 г. объем оперативного резерва газа в ПХГ России увеличился на 0,136 млрд куб. м по сравнению с предыдущим сезоном и составил 73,170 млрд куб. м. — это новый абсолютный рекорд в истории газовой отрасли. Изменение значения показателя связано с вводом в 2025 году еще одного подземного резервуара на Калининградском ПХГ. Традиционно, высокий уровень запасов в ПХГ позволяет Группе Газпром успешно справляться с сезонными колебаниями спроса. </w:t>
      </w:r>
    </w:p>
    <w:p w:rsidR="00A02ECF" w:rsidRDefault="006104A2">
      <w:pPr>
        <w:spacing w:before="80" w:after="0"/>
        <w:jc w:val="both"/>
        <w:rPr>
          <w:b/>
          <w:bCs/>
          <w:i/>
          <w:iCs/>
          <w:color w:val="000000"/>
        </w:rPr>
      </w:pPr>
      <w:r>
        <w:rPr>
          <w:b/>
          <w:bCs/>
          <w:i/>
          <w:iCs/>
          <w:color w:val="000000"/>
        </w:rPr>
        <w:t>Потенциальная максимальная суточная производительность ПХГ на начало сезона отбора 2025/2026 г. обеспечена на достигнутом ранее рекордном уровне — 858,8 млн куб. м.</w:t>
      </w:r>
    </w:p>
    <w:p w:rsidR="00A02ECF" w:rsidRDefault="006104A2">
      <w:pPr>
        <w:jc w:val="both"/>
        <w:rPr>
          <w:b/>
          <w:u w:val="single"/>
        </w:rPr>
      </w:pPr>
      <w:r>
        <w:rPr>
          <w:b/>
          <w:u w:val="single"/>
        </w:rPr>
        <w:t xml:space="preserve">Переработка </w:t>
      </w:r>
      <w:bookmarkEnd w:id="73"/>
    </w:p>
    <w:p w:rsidR="00A02ECF" w:rsidRDefault="006104A2">
      <w:pPr>
        <w:spacing w:before="120"/>
        <w:jc w:val="both"/>
        <w:rPr>
          <w:b/>
          <w:bCs/>
          <w:i/>
          <w:iCs/>
          <w:color w:val="000000"/>
          <w:szCs w:val="22"/>
        </w:rPr>
      </w:pPr>
      <w:bookmarkStart w:id="76" w:name="_Hlk102547765"/>
      <w:bookmarkStart w:id="77" w:name="_Hlk136244775"/>
      <w:bookmarkStart w:id="78" w:name="_Hlk196149534"/>
      <w:bookmarkStart w:id="79" w:name="_Hlk113883394"/>
      <w:bookmarkEnd w:id="74"/>
      <w:bookmarkEnd w:id="75"/>
      <w:r>
        <w:rPr>
          <w:b/>
          <w:bCs/>
          <w:i/>
          <w:iCs/>
          <w:color w:val="000000"/>
          <w:szCs w:val="22"/>
        </w:rPr>
        <w:t xml:space="preserve">В 2025 году на перерабатывающих мощностях Группы Газпром без учета давальческого сырья подготовлено и переработано </w:t>
      </w:r>
      <w:r>
        <w:rPr>
          <w:b/>
          <w:bCs/>
          <w:i/>
          <w:iCs/>
          <w:color w:val="000000"/>
        </w:rPr>
        <w:t>60,28</w:t>
      </w:r>
      <w:r>
        <w:rPr>
          <w:color w:val="000000"/>
        </w:rPr>
        <w:t xml:space="preserve"> </w:t>
      </w:r>
      <w:r>
        <w:rPr>
          <w:b/>
          <w:bCs/>
          <w:i/>
          <w:iCs/>
          <w:color w:val="000000"/>
          <w:szCs w:val="22"/>
        </w:rPr>
        <w:t xml:space="preserve">млрд куб. м природного и попутного газа, обеспечена первичная переработка нефти и стабильного газового конденсата в объеме </w:t>
      </w:r>
      <w:r>
        <w:rPr>
          <w:rFonts w:eastAsia="Aptos"/>
          <w:b/>
          <w:bCs/>
          <w:i/>
          <w:iCs/>
          <w:lang w:eastAsia="en-US"/>
        </w:rPr>
        <w:t>57,03</w:t>
      </w:r>
      <w:r>
        <w:rPr>
          <w:b/>
          <w:bCs/>
          <w:i/>
          <w:iCs/>
          <w:color w:val="000000"/>
          <w:szCs w:val="22"/>
        </w:rPr>
        <w:t xml:space="preserve"> млн т. На мощностях ООО «Газпром переработка» и газодобывающих дочерних обществ очищено и стабилизировано </w:t>
      </w:r>
      <w:r>
        <w:rPr>
          <w:rFonts w:eastAsia="Calibri"/>
          <w:b/>
          <w:bCs/>
          <w:i/>
          <w:iCs/>
          <w:color w:val="000000"/>
        </w:rPr>
        <w:lastRenderedPageBreak/>
        <w:t>21,34 </w:t>
      </w:r>
      <w:r>
        <w:rPr>
          <w:b/>
          <w:bCs/>
          <w:i/>
          <w:iCs/>
          <w:color w:val="000000"/>
          <w:szCs w:val="22"/>
        </w:rPr>
        <w:t xml:space="preserve">млн т нестабильного газового конденсата и нефти. </w:t>
      </w:r>
    </w:p>
    <w:p w:rsidR="00A02ECF" w:rsidRDefault="00A02ECF">
      <w:pPr>
        <w:spacing w:before="60" w:after="60"/>
        <w:ind w:left="1276" w:hanging="1276"/>
        <w:jc w:val="both"/>
        <w:rPr>
          <w:b/>
        </w:rPr>
      </w:pPr>
    </w:p>
    <w:p w:rsidR="00A02ECF" w:rsidRDefault="006104A2">
      <w:pPr>
        <w:spacing w:before="60" w:after="60"/>
        <w:ind w:left="1276" w:hanging="1276"/>
        <w:jc w:val="both"/>
        <w:rPr>
          <w:b/>
        </w:rPr>
      </w:pPr>
      <w:r>
        <w:rPr>
          <w:b/>
        </w:rPr>
        <w:t>Подготовка и переработка природного и попутного газа, млрд куб. м</w:t>
      </w:r>
    </w:p>
    <w:tbl>
      <w:tblPr>
        <w:tblW w:w="912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95"/>
        <w:gridCol w:w="1446"/>
        <w:gridCol w:w="1559"/>
        <w:gridCol w:w="1728"/>
      </w:tblGrid>
      <w:tr w:rsidR="00A02ECF">
        <w:tc>
          <w:tcPr>
            <w:tcW w:w="4395" w:type="dxa"/>
            <w:tcBorders>
              <w:bottom w:val="single" w:sz="4" w:space="0" w:color="000000"/>
            </w:tcBorders>
          </w:tcPr>
          <w:p w:rsidR="00A02ECF" w:rsidRDefault="00A02ECF"/>
        </w:tc>
        <w:tc>
          <w:tcPr>
            <w:tcW w:w="1446" w:type="dxa"/>
            <w:tcBorders>
              <w:bottom w:val="single" w:sz="4" w:space="0" w:color="000000"/>
            </w:tcBorders>
            <w:vAlign w:val="center"/>
          </w:tcPr>
          <w:p w:rsidR="00A02ECF" w:rsidRDefault="006104A2">
            <w:pPr>
              <w:keepNext/>
              <w:keepLines/>
              <w:spacing w:before="60" w:after="60"/>
              <w:jc w:val="right"/>
              <w:rPr>
                <w:b/>
                <w:color w:val="000000"/>
              </w:rPr>
            </w:pPr>
            <w:r>
              <w:rPr>
                <w:b/>
              </w:rPr>
              <w:t>2024 г.</w:t>
            </w:r>
          </w:p>
        </w:tc>
        <w:tc>
          <w:tcPr>
            <w:tcW w:w="1559" w:type="dxa"/>
            <w:tcBorders>
              <w:bottom w:val="single" w:sz="4" w:space="0" w:color="000000"/>
            </w:tcBorders>
            <w:vAlign w:val="center"/>
          </w:tcPr>
          <w:p w:rsidR="00A02ECF" w:rsidRDefault="006104A2">
            <w:pPr>
              <w:keepNext/>
              <w:keepLines/>
              <w:spacing w:before="60" w:after="60"/>
              <w:jc w:val="right"/>
              <w:rPr>
                <w:b/>
                <w:color w:val="000000"/>
              </w:rPr>
            </w:pPr>
            <w:r>
              <w:rPr>
                <w:b/>
              </w:rPr>
              <w:t>2025 г.</w:t>
            </w:r>
          </w:p>
        </w:tc>
        <w:tc>
          <w:tcPr>
            <w:tcW w:w="1728" w:type="dxa"/>
            <w:tcBorders>
              <w:bottom w:val="single" w:sz="4" w:space="0" w:color="000000"/>
            </w:tcBorders>
            <w:shd w:val="clear" w:color="auto" w:fill="FFFFFF"/>
            <w:vAlign w:val="center"/>
          </w:tcPr>
          <w:p w:rsidR="00A02ECF" w:rsidRDefault="006104A2">
            <w:pPr>
              <w:keepNext/>
              <w:keepLines/>
              <w:jc w:val="center"/>
              <w:rPr>
                <w:b/>
              </w:rPr>
            </w:pPr>
            <w:r>
              <w:rPr>
                <w:b/>
              </w:rPr>
              <w:t>Изменение (%)</w:t>
            </w:r>
          </w:p>
        </w:tc>
      </w:tr>
      <w:tr w:rsidR="00A02ECF">
        <w:tc>
          <w:tcPr>
            <w:tcW w:w="4395" w:type="dxa"/>
            <w:tcBorders>
              <w:bottom w:val="single" w:sz="4" w:space="0" w:color="000000"/>
            </w:tcBorders>
          </w:tcPr>
          <w:p w:rsidR="00A02ECF" w:rsidRDefault="006104A2">
            <w:pPr>
              <w:pStyle w:val="aff8"/>
              <w:rPr>
                <w:b w:val="0"/>
                <w:sz w:val="20"/>
                <w:szCs w:val="20"/>
                <w:lang w:val="ru-RU"/>
              </w:rPr>
            </w:pPr>
            <w:r>
              <w:rPr>
                <w:b w:val="0"/>
                <w:sz w:val="20"/>
                <w:szCs w:val="20"/>
                <w:lang w:val="ru-RU"/>
              </w:rPr>
              <w:t xml:space="preserve">Природный и попутный газ </w:t>
            </w:r>
          </w:p>
        </w:tc>
        <w:tc>
          <w:tcPr>
            <w:tcW w:w="1446" w:type="dxa"/>
            <w:tcBorders>
              <w:bottom w:val="single" w:sz="4" w:space="0" w:color="000000"/>
            </w:tcBorders>
            <w:vAlign w:val="bottom"/>
          </w:tcPr>
          <w:p w:rsidR="00A02ECF" w:rsidRDefault="006104A2">
            <w:pPr>
              <w:spacing w:after="20"/>
              <w:jc w:val="right"/>
            </w:pPr>
            <w:r>
              <w:rPr>
                <w:rFonts w:eastAsia="Calibri"/>
                <w:color w:val="000000"/>
              </w:rPr>
              <w:t>56,02</w:t>
            </w:r>
          </w:p>
        </w:tc>
        <w:tc>
          <w:tcPr>
            <w:tcW w:w="1559" w:type="dxa"/>
            <w:tcBorders>
              <w:bottom w:val="single" w:sz="4" w:space="0" w:color="000000"/>
            </w:tcBorders>
            <w:vAlign w:val="bottom"/>
          </w:tcPr>
          <w:p w:rsidR="00A02ECF" w:rsidRDefault="006104A2">
            <w:pPr>
              <w:spacing w:after="20"/>
              <w:jc w:val="right"/>
            </w:pPr>
            <w:r>
              <w:rPr>
                <w:color w:val="000000"/>
              </w:rPr>
              <w:t>60,28</w:t>
            </w:r>
          </w:p>
        </w:tc>
        <w:tc>
          <w:tcPr>
            <w:tcW w:w="1728" w:type="dxa"/>
            <w:tcBorders>
              <w:bottom w:val="single" w:sz="4" w:space="0" w:color="000000"/>
            </w:tcBorders>
            <w:shd w:val="clear" w:color="auto" w:fill="FFFFFF"/>
            <w:vAlign w:val="bottom"/>
          </w:tcPr>
          <w:p w:rsidR="00A02ECF" w:rsidRDefault="006104A2">
            <w:pPr>
              <w:spacing w:after="20"/>
              <w:jc w:val="right"/>
            </w:pPr>
            <w:r>
              <w:rPr>
                <w:color w:val="000000"/>
              </w:rPr>
              <w:t>7,60</w:t>
            </w:r>
          </w:p>
        </w:tc>
      </w:tr>
    </w:tbl>
    <w:p w:rsidR="00A02ECF" w:rsidRDefault="006104A2">
      <w:pPr>
        <w:rPr>
          <w:sz w:val="18"/>
          <w:szCs w:val="18"/>
        </w:rPr>
      </w:pPr>
      <w:r>
        <w:rPr>
          <w:rFonts w:eastAsia="Calibri"/>
          <w:b/>
          <w:bCs/>
          <w:color w:val="000000"/>
          <w:szCs w:val="22"/>
        </w:rPr>
        <w:t xml:space="preserve">Примечание. </w:t>
      </w:r>
    </w:p>
    <w:p w:rsidR="00A02ECF" w:rsidRDefault="006104A2">
      <w:pPr>
        <w:pStyle w:val="SubtleEmphasisListParagraph1BulletIRAOACList011head5113TITLE2221"/>
        <w:widowControl w:val="0"/>
        <w:numPr>
          <w:ilvl w:val="0"/>
          <w:numId w:val="21"/>
        </w:numPr>
        <w:spacing w:after="0" w:line="240" w:lineRule="auto"/>
        <w:ind w:left="425" w:hanging="357"/>
        <w:rPr>
          <w:rFonts w:ascii="Times New Roman" w:hAnsi="Times New Roman"/>
          <w:sz w:val="18"/>
          <w:szCs w:val="18"/>
        </w:rPr>
      </w:pPr>
      <w:r>
        <w:rPr>
          <w:rFonts w:ascii="Times New Roman" w:hAnsi="Times New Roman"/>
          <w:sz w:val="18"/>
          <w:szCs w:val="18"/>
        </w:rPr>
        <w:t>Без учета давальческого сырья</w:t>
      </w:r>
    </w:p>
    <w:p w:rsidR="00A02ECF" w:rsidRDefault="006104A2">
      <w:pPr>
        <w:pStyle w:val="aff6"/>
        <w:numPr>
          <w:ilvl w:val="0"/>
          <w:numId w:val="21"/>
        </w:numPr>
        <w:spacing w:before="0" w:after="0"/>
        <w:ind w:left="425" w:hanging="357"/>
        <w:jc w:val="both"/>
        <w:rPr>
          <w:rFonts w:eastAsia="Times New Roman"/>
          <w:b w:val="0"/>
          <w:sz w:val="18"/>
          <w:szCs w:val="18"/>
          <w:lang w:eastAsia="ru-RU"/>
        </w:rPr>
      </w:pPr>
      <w:r>
        <w:rPr>
          <w:rFonts w:eastAsia="Times New Roman"/>
          <w:b w:val="0"/>
          <w:sz w:val="18"/>
          <w:szCs w:val="18"/>
          <w:lang w:eastAsia="ru-RU"/>
        </w:rPr>
        <w:t>С учетом объема газа, поступившего на Амурский ГПЗ</w:t>
      </w:r>
      <w:bookmarkEnd w:id="76"/>
    </w:p>
    <w:p w:rsidR="00A02ECF" w:rsidRDefault="006104A2">
      <w:pPr>
        <w:pStyle w:val="aff6"/>
        <w:spacing w:before="120" w:after="0"/>
        <w:jc w:val="both"/>
        <w:rPr>
          <w:i/>
          <w:iCs/>
          <w:color w:val="000000" w:themeColor="text1"/>
          <w:sz w:val="20"/>
          <w:szCs w:val="20"/>
        </w:rPr>
      </w:pPr>
      <w:r>
        <w:rPr>
          <w:bCs/>
          <w:i/>
          <w:iCs/>
          <w:color w:val="000000"/>
          <w:sz w:val="20"/>
          <w:szCs w:val="20"/>
        </w:rPr>
        <w:t xml:space="preserve">Объем переработки природного и попутного газа увеличился на 7,60% относительно 2024 года. </w:t>
      </w:r>
      <w:r>
        <w:rPr>
          <w:i/>
          <w:iCs/>
          <w:color w:val="000000" w:themeColor="text1"/>
          <w:sz w:val="20"/>
          <w:szCs w:val="20"/>
        </w:rPr>
        <w:t>Увеличение объемов подготовки и переработки газа Группой Газпром в основном связано с запуском в работу новых мощностей на Амурском ГПЗ: по состоянию на 31 декабря 2025 г. в работе находилось пять технологических линий завода.</w:t>
      </w:r>
    </w:p>
    <w:p w:rsidR="00A02ECF" w:rsidRDefault="00A02ECF">
      <w:pPr>
        <w:pStyle w:val="aff6"/>
        <w:jc w:val="both"/>
        <w:rPr>
          <w:sz w:val="20"/>
          <w:szCs w:val="20"/>
        </w:rPr>
      </w:pPr>
    </w:p>
    <w:p w:rsidR="00A02ECF" w:rsidRDefault="006104A2">
      <w:pPr>
        <w:pStyle w:val="aff6"/>
        <w:jc w:val="both"/>
        <w:rPr>
          <w:sz w:val="20"/>
          <w:szCs w:val="20"/>
        </w:rPr>
      </w:pPr>
      <w:r>
        <w:rPr>
          <w:sz w:val="20"/>
          <w:szCs w:val="20"/>
        </w:rPr>
        <w:t>Переработка (очистка и стабилизация) нестабильного газового конденсата и нефти на мощностях ООО «Газпром переработка» и газодобывающих дочерних обществ, млн т</w:t>
      </w:r>
    </w:p>
    <w:tbl>
      <w:tblPr>
        <w:tblW w:w="905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95"/>
        <w:gridCol w:w="1446"/>
        <w:gridCol w:w="1559"/>
        <w:gridCol w:w="1654"/>
      </w:tblGrid>
      <w:tr w:rsidR="00A02ECF">
        <w:tc>
          <w:tcPr>
            <w:tcW w:w="4395" w:type="dxa"/>
            <w:tcBorders>
              <w:bottom w:val="single" w:sz="4" w:space="0" w:color="000000"/>
            </w:tcBorders>
            <w:vAlign w:val="center"/>
          </w:tcPr>
          <w:p w:rsidR="00A02ECF" w:rsidRDefault="00A02ECF"/>
        </w:tc>
        <w:tc>
          <w:tcPr>
            <w:tcW w:w="1446" w:type="dxa"/>
            <w:tcBorders>
              <w:bottom w:val="single" w:sz="4" w:space="0" w:color="000000"/>
            </w:tcBorders>
            <w:vAlign w:val="center"/>
          </w:tcPr>
          <w:p w:rsidR="00A02ECF" w:rsidRDefault="006104A2">
            <w:pPr>
              <w:keepNext/>
              <w:keepLines/>
              <w:spacing w:before="60" w:after="60"/>
              <w:jc w:val="right"/>
              <w:rPr>
                <w:b/>
                <w:color w:val="000000"/>
              </w:rPr>
            </w:pPr>
            <w:r>
              <w:rPr>
                <w:b/>
              </w:rPr>
              <w:t>2024 г.</w:t>
            </w:r>
          </w:p>
        </w:tc>
        <w:tc>
          <w:tcPr>
            <w:tcW w:w="1559" w:type="dxa"/>
            <w:tcBorders>
              <w:bottom w:val="single" w:sz="4" w:space="0" w:color="000000"/>
            </w:tcBorders>
            <w:vAlign w:val="center"/>
          </w:tcPr>
          <w:p w:rsidR="00A02ECF" w:rsidRDefault="006104A2">
            <w:pPr>
              <w:keepNext/>
              <w:keepLines/>
              <w:spacing w:before="60" w:after="60"/>
              <w:jc w:val="right"/>
              <w:rPr>
                <w:b/>
                <w:color w:val="000000"/>
              </w:rPr>
            </w:pPr>
            <w:r>
              <w:rPr>
                <w:b/>
              </w:rPr>
              <w:t>2025 г.</w:t>
            </w:r>
          </w:p>
        </w:tc>
        <w:tc>
          <w:tcPr>
            <w:tcW w:w="1654" w:type="dxa"/>
            <w:tcBorders>
              <w:bottom w:val="single" w:sz="4" w:space="0" w:color="000000"/>
            </w:tcBorders>
            <w:shd w:val="clear" w:color="auto" w:fill="FFFFFF"/>
            <w:vAlign w:val="center"/>
          </w:tcPr>
          <w:p w:rsidR="00A02ECF" w:rsidRDefault="006104A2">
            <w:pPr>
              <w:keepNext/>
              <w:keepLines/>
              <w:ind w:left="-108" w:right="52"/>
              <w:jc w:val="center"/>
              <w:rPr>
                <w:b/>
              </w:rPr>
            </w:pPr>
            <w:r>
              <w:rPr>
                <w:b/>
              </w:rPr>
              <w:t>Изменение (%)</w:t>
            </w:r>
          </w:p>
        </w:tc>
      </w:tr>
      <w:tr w:rsidR="00A02ECF">
        <w:tc>
          <w:tcPr>
            <w:tcW w:w="4395" w:type="dxa"/>
            <w:tcBorders>
              <w:bottom w:val="single" w:sz="4" w:space="0" w:color="000000"/>
            </w:tcBorders>
          </w:tcPr>
          <w:p w:rsidR="00A02ECF" w:rsidRDefault="006104A2">
            <w:pPr>
              <w:pStyle w:val="aff8"/>
              <w:jc w:val="left"/>
              <w:rPr>
                <w:b w:val="0"/>
                <w:sz w:val="20"/>
                <w:szCs w:val="20"/>
                <w:lang w:val="ru-RU"/>
              </w:rPr>
            </w:pPr>
            <w:r>
              <w:rPr>
                <w:b w:val="0"/>
                <w:sz w:val="20"/>
                <w:szCs w:val="20"/>
                <w:lang w:val="ru-RU"/>
              </w:rPr>
              <w:t>Нестабильный газовый конденсат и нефть</w:t>
            </w:r>
          </w:p>
        </w:tc>
        <w:tc>
          <w:tcPr>
            <w:tcW w:w="1446" w:type="dxa"/>
            <w:tcBorders>
              <w:bottom w:val="single" w:sz="4" w:space="0" w:color="000000"/>
            </w:tcBorders>
          </w:tcPr>
          <w:p w:rsidR="00A02ECF" w:rsidRDefault="006104A2">
            <w:pPr>
              <w:spacing w:after="20"/>
              <w:jc w:val="right"/>
            </w:pPr>
            <w:r>
              <w:rPr>
                <w:lang w:val="en-US"/>
              </w:rPr>
              <w:t>22,00</w:t>
            </w:r>
          </w:p>
        </w:tc>
        <w:tc>
          <w:tcPr>
            <w:tcW w:w="1559" w:type="dxa"/>
            <w:tcBorders>
              <w:bottom w:val="single" w:sz="4" w:space="0" w:color="000000"/>
            </w:tcBorders>
            <w:vAlign w:val="bottom"/>
          </w:tcPr>
          <w:p w:rsidR="00A02ECF" w:rsidRDefault="006104A2">
            <w:pPr>
              <w:spacing w:after="20"/>
              <w:jc w:val="right"/>
            </w:pPr>
            <w:r>
              <w:rPr>
                <w:color w:val="000000"/>
              </w:rPr>
              <w:t>21,34</w:t>
            </w:r>
          </w:p>
        </w:tc>
        <w:tc>
          <w:tcPr>
            <w:tcW w:w="1654" w:type="dxa"/>
            <w:tcBorders>
              <w:bottom w:val="single" w:sz="4" w:space="0" w:color="000000"/>
            </w:tcBorders>
            <w:shd w:val="clear" w:color="auto" w:fill="FFFFFF"/>
            <w:vAlign w:val="bottom"/>
          </w:tcPr>
          <w:p w:rsidR="00A02ECF" w:rsidRDefault="006104A2">
            <w:pPr>
              <w:spacing w:after="20"/>
              <w:jc w:val="right"/>
            </w:pPr>
            <w:r>
              <w:rPr>
                <w:color w:val="000000"/>
              </w:rPr>
              <w:t>-3,00</w:t>
            </w:r>
          </w:p>
        </w:tc>
      </w:tr>
    </w:tbl>
    <w:p w:rsidR="00A02ECF" w:rsidRDefault="00A02ECF">
      <w:pPr>
        <w:spacing w:before="0" w:after="60"/>
        <w:jc w:val="both"/>
        <w:rPr>
          <w:b/>
        </w:rPr>
      </w:pPr>
    </w:p>
    <w:p w:rsidR="00A02ECF" w:rsidRDefault="006104A2">
      <w:pPr>
        <w:spacing w:before="0" w:after="60"/>
        <w:jc w:val="both"/>
        <w:rPr>
          <w:b/>
        </w:rPr>
      </w:pPr>
      <w:r>
        <w:rPr>
          <w:b/>
        </w:rPr>
        <w:t>Объемы производства основных видов продукции переработки</w:t>
      </w:r>
      <w:r>
        <w:rPr>
          <w:b/>
          <w:color w:val="156082"/>
          <w:vertAlign w:val="superscript"/>
        </w:rPr>
        <w:t xml:space="preserve"> </w:t>
      </w:r>
    </w:p>
    <w:tbl>
      <w:tblPr>
        <w:tblW w:w="910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95"/>
        <w:gridCol w:w="1446"/>
        <w:gridCol w:w="1559"/>
        <w:gridCol w:w="1701"/>
      </w:tblGrid>
      <w:tr w:rsidR="00A02ECF">
        <w:trPr>
          <w:tblHeader/>
        </w:trPr>
        <w:tc>
          <w:tcPr>
            <w:tcW w:w="4395" w:type="dxa"/>
            <w:tcBorders>
              <w:bottom w:val="single" w:sz="4" w:space="0" w:color="000000"/>
            </w:tcBorders>
            <w:vAlign w:val="center"/>
          </w:tcPr>
          <w:p w:rsidR="00A02ECF" w:rsidRDefault="00A02ECF"/>
        </w:tc>
        <w:tc>
          <w:tcPr>
            <w:tcW w:w="1446" w:type="dxa"/>
            <w:tcBorders>
              <w:bottom w:val="single" w:sz="4" w:space="0" w:color="000000"/>
            </w:tcBorders>
            <w:vAlign w:val="center"/>
          </w:tcPr>
          <w:p w:rsidR="00A02ECF" w:rsidRDefault="006104A2">
            <w:pPr>
              <w:keepNext/>
              <w:keepLines/>
              <w:spacing w:before="60" w:after="60"/>
              <w:jc w:val="right"/>
              <w:rPr>
                <w:b/>
                <w:color w:val="000000"/>
              </w:rPr>
            </w:pPr>
            <w:r>
              <w:rPr>
                <w:b/>
              </w:rPr>
              <w:t>2024 г.</w:t>
            </w:r>
          </w:p>
        </w:tc>
        <w:tc>
          <w:tcPr>
            <w:tcW w:w="1559" w:type="dxa"/>
            <w:tcBorders>
              <w:bottom w:val="single" w:sz="4" w:space="0" w:color="000000"/>
            </w:tcBorders>
            <w:vAlign w:val="center"/>
          </w:tcPr>
          <w:p w:rsidR="00A02ECF" w:rsidRDefault="006104A2">
            <w:pPr>
              <w:keepNext/>
              <w:keepLines/>
              <w:spacing w:before="60" w:after="60"/>
              <w:jc w:val="right"/>
              <w:rPr>
                <w:b/>
                <w:color w:val="000000"/>
              </w:rPr>
            </w:pPr>
            <w:r>
              <w:rPr>
                <w:b/>
              </w:rPr>
              <w:t>2025 г.</w:t>
            </w:r>
          </w:p>
        </w:tc>
        <w:tc>
          <w:tcPr>
            <w:tcW w:w="1701" w:type="dxa"/>
            <w:tcBorders>
              <w:bottom w:val="single" w:sz="4" w:space="0" w:color="000000"/>
            </w:tcBorders>
            <w:shd w:val="clear" w:color="auto" w:fill="FFFFFF"/>
            <w:vAlign w:val="center"/>
          </w:tcPr>
          <w:p w:rsidR="00A02ECF" w:rsidRDefault="006104A2">
            <w:pPr>
              <w:keepNext/>
              <w:keepLines/>
              <w:jc w:val="center"/>
              <w:rPr>
                <w:b/>
              </w:rPr>
            </w:pPr>
            <w:r>
              <w:rPr>
                <w:b/>
              </w:rPr>
              <w:t>Изменение (%)</w:t>
            </w:r>
          </w:p>
        </w:tc>
      </w:tr>
      <w:tr w:rsidR="00A02ECF">
        <w:trPr>
          <w:trHeight w:val="227"/>
        </w:trPr>
        <w:tc>
          <w:tcPr>
            <w:tcW w:w="4395" w:type="dxa"/>
            <w:tcBorders>
              <w:top w:val="single" w:sz="4" w:space="0" w:color="000000"/>
              <w:bottom w:val="single" w:sz="4" w:space="0" w:color="000000"/>
            </w:tcBorders>
          </w:tcPr>
          <w:p w:rsidR="00A02ECF" w:rsidRDefault="006104A2">
            <w:r>
              <w:t xml:space="preserve">Сжиженные углеводородные газы (СУГ), млн т </w:t>
            </w:r>
          </w:p>
        </w:tc>
        <w:tc>
          <w:tcPr>
            <w:tcW w:w="1446" w:type="dxa"/>
            <w:tcBorders>
              <w:top w:val="single" w:sz="4" w:space="0" w:color="000000"/>
              <w:bottom w:val="single" w:sz="4" w:space="0" w:color="000000"/>
            </w:tcBorders>
          </w:tcPr>
          <w:p w:rsidR="00A02ECF" w:rsidRDefault="006104A2">
            <w:pPr>
              <w:jc w:val="right"/>
            </w:pPr>
            <w:r>
              <w:rPr>
                <w:rFonts w:eastAsia="Aptos"/>
                <w:color w:val="000000"/>
                <w:lang w:eastAsia="en-US"/>
              </w:rPr>
              <w:t>3,70</w:t>
            </w:r>
          </w:p>
        </w:tc>
        <w:tc>
          <w:tcPr>
            <w:tcW w:w="1559" w:type="dxa"/>
            <w:tcBorders>
              <w:top w:val="single" w:sz="4" w:space="0" w:color="000000"/>
              <w:bottom w:val="single" w:sz="4" w:space="0" w:color="000000"/>
            </w:tcBorders>
            <w:vAlign w:val="bottom"/>
          </w:tcPr>
          <w:p w:rsidR="00A02ECF" w:rsidRDefault="006104A2">
            <w:pPr>
              <w:jc w:val="right"/>
            </w:pPr>
            <w:r>
              <w:rPr>
                <w:color w:val="000000"/>
              </w:rPr>
              <w:t>3,61</w:t>
            </w:r>
          </w:p>
        </w:tc>
        <w:tc>
          <w:tcPr>
            <w:tcW w:w="1701" w:type="dxa"/>
            <w:tcBorders>
              <w:top w:val="single" w:sz="4" w:space="0" w:color="000000"/>
              <w:bottom w:val="single" w:sz="4" w:space="0" w:color="000000"/>
            </w:tcBorders>
            <w:shd w:val="clear" w:color="auto" w:fill="FFFFFF"/>
            <w:vAlign w:val="bottom"/>
          </w:tcPr>
          <w:p w:rsidR="00A02ECF" w:rsidRDefault="006104A2">
            <w:pPr>
              <w:jc w:val="right"/>
            </w:pPr>
            <w:r>
              <w:rPr>
                <w:color w:val="000000"/>
              </w:rPr>
              <w:t>-2,43</w:t>
            </w:r>
          </w:p>
        </w:tc>
      </w:tr>
      <w:tr w:rsidR="00A02ECF">
        <w:trPr>
          <w:trHeight w:val="227"/>
        </w:trPr>
        <w:tc>
          <w:tcPr>
            <w:tcW w:w="4395" w:type="dxa"/>
            <w:tcBorders>
              <w:top w:val="single" w:sz="4" w:space="0" w:color="000000"/>
              <w:bottom w:val="single" w:sz="4" w:space="0" w:color="000000"/>
            </w:tcBorders>
          </w:tcPr>
          <w:p w:rsidR="00A02ECF" w:rsidRDefault="006104A2">
            <w:r>
              <w:t>Гелий, млн куб. м</w:t>
            </w:r>
          </w:p>
        </w:tc>
        <w:tc>
          <w:tcPr>
            <w:tcW w:w="1446" w:type="dxa"/>
            <w:tcBorders>
              <w:top w:val="single" w:sz="4" w:space="0" w:color="000000"/>
              <w:bottom w:val="single" w:sz="4" w:space="0" w:color="000000"/>
            </w:tcBorders>
          </w:tcPr>
          <w:p w:rsidR="00A02ECF" w:rsidRDefault="006104A2">
            <w:pPr>
              <w:jc w:val="right"/>
            </w:pPr>
            <w:r>
              <w:t>12,65</w:t>
            </w:r>
          </w:p>
        </w:tc>
        <w:tc>
          <w:tcPr>
            <w:tcW w:w="1559" w:type="dxa"/>
            <w:tcBorders>
              <w:top w:val="single" w:sz="4" w:space="0" w:color="000000"/>
              <w:bottom w:val="single" w:sz="4" w:space="0" w:color="000000"/>
            </w:tcBorders>
            <w:vAlign w:val="bottom"/>
          </w:tcPr>
          <w:p w:rsidR="00A02ECF" w:rsidRDefault="006104A2">
            <w:pPr>
              <w:jc w:val="right"/>
            </w:pPr>
            <w:r>
              <w:rPr>
                <w:color w:val="000000"/>
              </w:rPr>
              <w:t>16,61</w:t>
            </w:r>
          </w:p>
        </w:tc>
        <w:tc>
          <w:tcPr>
            <w:tcW w:w="1701" w:type="dxa"/>
            <w:tcBorders>
              <w:top w:val="single" w:sz="4" w:space="0" w:color="000000"/>
              <w:bottom w:val="single" w:sz="4" w:space="0" w:color="000000"/>
            </w:tcBorders>
            <w:shd w:val="clear" w:color="auto" w:fill="FFFFFF"/>
            <w:vAlign w:val="bottom"/>
          </w:tcPr>
          <w:p w:rsidR="00A02ECF" w:rsidRDefault="006104A2">
            <w:pPr>
              <w:jc w:val="right"/>
            </w:pPr>
            <w:r>
              <w:rPr>
                <w:color w:val="000000"/>
              </w:rPr>
              <w:t>31,30</w:t>
            </w:r>
          </w:p>
        </w:tc>
      </w:tr>
    </w:tbl>
    <w:p w:rsidR="00A02ECF" w:rsidRDefault="006104A2">
      <w:pPr>
        <w:rPr>
          <w:sz w:val="18"/>
          <w:szCs w:val="18"/>
        </w:rPr>
      </w:pPr>
      <w:r>
        <w:rPr>
          <w:rFonts w:eastAsia="Calibri"/>
          <w:b/>
          <w:bCs/>
          <w:color w:val="000000"/>
          <w:sz w:val="18"/>
          <w:szCs w:val="18"/>
        </w:rPr>
        <w:t xml:space="preserve">Примечание. </w:t>
      </w:r>
      <w:r>
        <w:rPr>
          <w:sz w:val="18"/>
          <w:szCs w:val="18"/>
        </w:rPr>
        <w:t>Без учета давальческого сырья</w:t>
      </w:r>
    </w:p>
    <w:p w:rsidR="00A02ECF" w:rsidRDefault="006104A2">
      <w:pPr>
        <w:spacing w:before="120"/>
        <w:jc w:val="both"/>
        <w:rPr>
          <w:b/>
          <w:bCs/>
          <w:i/>
          <w:iCs/>
          <w:color w:val="000000"/>
        </w:rPr>
      </w:pPr>
      <w:r>
        <w:rPr>
          <w:b/>
          <w:i/>
        </w:rPr>
        <w:t>Рост объемов производства товарного гелия Группой Газпром связан с вводом в работу установки производства гелия на Амурском ГПЗ и увеличением объемов реализации товарного гелия</w:t>
      </w:r>
      <w:r>
        <w:rPr>
          <w:b/>
          <w:bCs/>
          <w:i/>
          <w:iCs/>
          <w:color w:val="000000"/>
        </w:rPr>
        <w:t>.</w:t>
      </w:r>
    </w:p>
    <w:p w:rsidR="00A02ECF" w:rsidRDefault="00A02ECF">
      <w:pPr>
        <w:spacing w:before="0" w:after="0"/>
        <w:rPr>
          <w:b/>
          <w:bCs/>
          <w:i/>
          <w:iCs/>
          <w:color w:val="000000"/>
        </w:rPr>
      </w:pPr>
    </w:p>
    <w:p w:rsidR="00A02ECF" w:rsidRDefault="006104A2">
      <w:pPr>
        <w:keepNext/>
        <w:keepLines/>
        <w:spacing w:before="60" w:after="60"/>
        <w:rPr>
          <w:b/>
        </w:rPr>
      </w:pPr>
      <w:r>
        <w:rPr>
          <w:b/>
        </w:rPr>
        <w:t xml:space="preserve">Первичная переработка нефти и стабильного газового конденсата, млн т </w:t>
      </w:r>
    </w:p>
    <w:tbl>
      <w:tblPr>
        <w:tblW w:w="905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95"/>
        <w:gridCol w:w="1446"/>
        <w:gridCol w:w="1559"/>
        <w:gridCol w:w="1654"/>
      </w:tblGrid>
      <w:tr w:rsidR="00A02ECF">
        <w:tc>
          <w:tcPr>
            <w:tcW w:w="4395" w:type="dxa"/>
            <w:tcBorders>
              <w:bottom w:val="single" w:sz="4" w:space="0" w:color="000000"/>
            </w:tcBorders>
            <w:vAlign w:val="center"/>
          </w:tcPr>
          <w:p w:rsidR="00A02ECF" w:rsidRDefault="00A02ECF"/>
        </w:tc>
        <w:tc>
          <w:tcPr>
            <w:tcW w:w="1446" w:type="dxa"/>
            <w:tcBorders>
              <w:bottom w:val="single" w:sz="4" w:space="0" w:color="000000"/>
            </w:tcBorders>
            <w:vAlign w:val="center"/>
          </w:tcPr>
          <w:p w:rsidR="00A02ECF" w:rsidRDefault="006104A2">
            <w:pPr>
              <w:keepNext/>
              <w:keepLines/>
              <w:spacing w:before="60" w:after="60"/>
              <w:jc w:val="right"/>
              <w:rPr>
                <w:b/>
                <w:color w:val="000000"/>
              </w:rPr>
            </w:pPr>
            <w:r>
              <w:rPr>
                <w:b/>
              </w:rPr>
              <w:t>2024 г.</w:t>
            </w:r>
          </w:p>
        </w:tc>
        <w:tc>
          <w:tcPr>
            <w:tcW w:w="1559" w:type="dxa"/>
            <w:tcBorders>
              <w:bottom w:val="single" w:sz="4" w:space="0" w:color="000000"/>
            </w:tcBorders>
            <w:vAlign w:val="center"/>
          </w:tcPr>
          <w:p w:rsidR="00A02ECF" w:rsidRDefault="006104A2">
            <w:pPr>
              <w:keepNext/>
              <w:keepLines/>
              <w:spacing w:before="60" w:after="60"/>
              <w:jc w:val="right"/>
              <w:rPr>
                <w:b/>
                <w:color w:val="000000"/>
              </w:rPr>
            </w:pPr>
            <w:r>
              <w:rPr>
                <w:b/>
              </w:rPr>
              <w:t>2025 г.</w:t>
            </w:r>
          </w:p>
        </w:tc>
        <w:tc>
          <w:tcPr>
            <w:tcW w:w="1654" w:type="dxa"/>
            <w:tcBorders>
              <w:bottom w:val="single" w:sz="4" w:space="0" w:color="000000"/>
            </w:tcBorders>
            <w:shd w:val="clear" w:color="auto" w:fill="FFFFFF"/>
            <w:vAlign w:val="center"/>
          </w:tcPr>
          <w:p w:rsidR="00A02ECF" w:rsidRDefault="006104A2">
            <w:pPr>
              <w:keepNext/>
              <w:keepLines/>
              <w:ind w:left="-108" w:right="52"/>
              <w:jc w:val="center"/>
              <w:rPr>
                <w:b/>
              </w:rPr>
            </w:pPr>
            <w:r>
              <w:rPr>
                <w:b/>
              </w:rPr>
              <w:t>Изменение (%)</w:t>
            </w:r>
          </w:p>
        </w:tc>
      </w:tr>
      <w:tr w:rsidR="00A02ECF">
        <w:tc>
          <w:tcPr>
            <w:tcW w:w="4395" w:type="dxa"/>
            <w:tcBorders>
              <w:bottom w:val="single" w:sz="4" w:space="0" w:color="000000"/>
            </w:tcBorders>
          </w:tcPr>
          <w:p w:rsidR="00A02ECF" w:rsidRDefault="006104A2">
            <w:pPr>
              <w:pStyle w:val="aff8"/>
              <w:jc w:val="left"/>
              <w:rPr>
                <w:b w:val="0"/>
                <w:sz w:val="20"/>
                <w:szCs w:val="20"/>
                <w:lang w:val="ru-RU"/>
              </w:rPr>
            </w:pPr>
            <w:r>
              <w:rPr>
                <w:b w:val="0"/>
                <w:sz w:val="20"/>
                <w:szCs w:val="20"/>
                <w:lang w:val="ru-RU"/>
              </w:rPr>
              <w:t>Нефть и стабильный газовый конденсат</w:t>
            </w:r>
          </w:p>
        </w:tc>
        <w:tc>
          <w:tcPr>
            <w:tcW w:w="1446" w:type="dxa"/>
            <w:tcBorders>
              <w:bottom w:val="single" w:sz="4" w:space="0" w:color="000000"/>
            </w:tcBorders>
            <w:vAlign w:val="bottom"/>
          </w:tcPr>
          <w:p w:rsidR="00A02ECF" w:rsidRDefault="006104A2">
            <w:pPr>
              <w:spacing w:after="20"/>
              <w:jc w:val="right"/>
            </w:pPr>
            <w:r>
              <w:rPr>
                <w:rFonts w:eastAsia="Calibri"/>
                <w:color w:val="000000"/>
              </w:rPr>
              <w:t>58,26</w:t>
            </w:r>
          </w:p>
        </w:tc>
        <w:tc>
          <w:tcPr>
            <w:tcW w:w="1559" w:type="dxa"/>
            <w:tcBorders>
              <w:bottom w:val="single" w:sz="4" w:space="0" w:color="000000"/>
            </w:tcBorders>
            <w:vAlign w:val="bottom"/>
          </w:tcPr>
          <w:p w:rsidR="00A02ECF" w:rsidRDefault="006104A2">
            <w:pPr>
              <w:spacing w:after="20"/>
              <w:jc w:val="right"/>
            </w:pPr>
            <w:bookmarkStart w:id="80" w:name="_Hlk226640681"/>
            <w:r>
              <w:rPr>
                <w:color w:val="000000"/>
              </w:rPr>
              <w:t>57,03</w:t>
            </w:r>
            <w:bookmarkEnd w:id="80"/>
          </w:p>
        </w:tc>
        <w:tc>
          <w:tcPr>
            <w:tcW w:w="1654" w:type="dxa"/>
            <w:tcBorders>
              <w:bottom w:val="single" w:sz="4" w:space="0" w:color="000000"/>
            </w:tcBorders>
            <w:shd w:val="clear" w:color="auto" w:fill="FFFFFF"/>
            <w:vAlign w:val="bottom"/>
          </w:tcPr>
          <w:p w:rsidR="00A02ECF" w:rsidRDefault="006104A2">
            <w:pPr>
              <w:spacing w:after="20"/>
              <w:jc w:val="right"/>
            </w:pPr>
            <w:r>
              <w:rPr>
                <w:color w:val="000000"/>
              </w:rPr>
              <w:t>-2,11</w:t>
            </w:r>
          </w:p>
        </w:tc>
      </w:tr>
    </w:tbl>
    <w:p w:rsidR="00A02ECF" w:rsidRDefault="006104A2">
      <w:pPr>
        <w:rPr>
          <w:sz w:val="18"/>
          <w:szCs w:val="18"/>
        </w:rPr>
      </w:pPr>
      <w:r>
        <w:rPr>
          <w:rFonts w:eastAsia="Calibri"/>
          <w:b/>
          <w:bCs/>
          <w:color w:val="000000"/>
          <w:szCs w:val="22"/>
        </w:rPr>
        <w:t xml:space="preserve">Примечание. </w:t>
      </w:r>
      <w:r>
        <w:rPr>
          <w:sz w:val="18"/>
          <w:szCs w:val="18"/>
        </w:rPr>
        <w:t>Без учета давальческого сырья</w:t>
      </w:r>
    </w:p>
    <w:p w:rsidR="00A02ECF" w:rsidRDefault="00A02ECF">
      <w:pPr>
        <w:spacing w:before="0" w:after="0"/>
        <w:jc w:val="both"/>
        <w:rPr>
          <w:b/>
        </w:rPr>
      </w:pPr>
    </w:p>
    <w:p w:rsidR="00A02ECF" w:rsidRDefault="006104A2">
      <w:pPr>
        <w:spacing w:before="0" w:after="60"/>
        <w:jc w:val="both"/>
        <w:rPr>
          <w:b/>
        </w:rPr>
      </w:pPr>
      <w:r>
        <w:rPr>
          <w:b/>
        </w:rPr>
        <w:t>Объемы производства нефтепродуктов, млн т</w:t>
      </w:r>
      <w:r>
        <w:rPr>
          <w:b/>
          <w:color w:val="156082"/>
          <w:vertAlign w:val="superscript"/>
        </w:rPr>
        <w:t xml:space="preserve"> </w:t>
      </w:r>
    </w:p>
    <w:tbl>
      <w:tblPr>
        <w:tblW w:w="910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95"/>
        <w:gridCol w:w="1446"/>
        <w:gridCol w:w="1559"/>
        <w:gridCol w:w="1701"/>
      </w:tblGrid>
      <w:tr w:rsidR="00A02ECF">
        <w:trPr>
          <w:tblHeader/>
        </w:trPr>
        <w:tc>
          <w:tcPr>
            <w:tcW w:w="4395" w:type="dxa"/>
            <w:tcBorders>
              <w:bottom w:val="single" w:sz="4" w:space="0" w:color="000000"/>
            </w:tcBorders>
            <w:vAlign w:val="center"/>
          </w:tcPr>
          <w:p w:rsidR="00A02ECF" w:rsidRDefault="00A02ECF"/>
        </w:tc>
        <w:tc>
          <w:tcPr>
            <w:tcW w:w="1446" w:type="dxa"/>
            <w:tcBorders>
              <w:bottom w:val="single" w:sz="4" w:space="0" w:color="000000"/>
            </w:tcBorders>
            <w:vAlign w:val="center"/>
          </w:tcPr>
          <w:p w:rsidR="00A02ECF" w:rsidRDefault="006104A2">
            <w:pPr>
              <w:keepNext/>
              <w:keepLines/>
              <w:spacing w:before="60" w:after="60"/>
              <w:jc w:val="right"/>
              <w:rPr>
                <w:b/>
              </w:rPr>
            </w:pPr>
            <w:r>
              <w:rPr>
                <w:b/>
              </w:rPr>
              <w:t>2024 г.</w:t>
            </w:r>
          </w:p>
        </w:tc>
        <w:tc>
          <w:tcPr>
            <w:tcW w:w="1559" w:type="dxa"/>
            <w:tcBorders>
              <w:bottom w:val="single" w:sz="4" w:space="0" w:color="000000"/>
            </w:tcBorders>
            <w:vAlign w:val="center"/>
          </w:tcPr>
          <w:p w:rsidR="00A02ECF" w:rsidRDefault="006104A2">
            <w:pPr>
              <w:keepNext/>
              <w:keepLines/>
              <w:spacing w:before="60" w:after="60"/>
              <w:jc w:val="right"/>
              <w:rPr>
                <w:b/>
              </w:rPr>
            </w:pPr>
            <w:r>
              <w:rPr>
                <w:b/>
              </w:rPr>
              <w:t>2025 г.</w:t>
            </w:r>
          </w:p>
        </w:tc>
        <w:tc>
          <w:tcPr>
            <w:tcW w:w="1701" w:type="dxa"/>
            <w:tcBorders>
              <w:bottom w:val="single" w:sz="4" w:space="0" w:color="000000"/>
            </w:tcBorders>
            <w:shd w:val="clear" w:color="auto" w:fill="FFFFFF"/>
            <w:vAlign w:val="center"/>
          </w:tcPr>
          <w:p w:rsidR="00A02ECF" w:rsidRDefault="006104A2">
            <w:pPr>
              <w:keepNext/>
              <w:keepLines/>
              <w:jc w:val="center"/>
              <w:rPr>
                <w:b/>
              </w:rPr>
            </w:pPr>
            <w:r>
              <w:rPr>
                <w:b/>
              </w:rPr>
              <w:t>Изменение (%)</w:t>
            </w:r>
          </w:p>
        </w:tc>
      </w:tr>
      <w:tr w:rsidR="00A02ECF">
        <w:tc>
          <w:tcPr>
            <w:tcW w:w="4395" w:type="dxa"/>
            <w:tcBorders>
              <w:top w:val="single" w:sz="4" w:space="0" w:color="000000"/>
              <w:bottom w:val="single" w:sz="4" w:space="0" w:color="000000"/>
            </w:tcBorders>
          </w:tcPr>
          <w:p w:rsidR="00A02ECF" w:rsidRDefault="006104A2">
            <w:pPr>
              <w:ind w:left="34"/>
              <w:rPr>
                <w:b/>
              </w:rPr>
            </w:pPr>
            <w:r>
              <w:t>Нефтепродукты</w:t>
            </w:r>
          </w:p>
        </w:tc>
        <w:tc>
          <w:tcPr>
            <w:tcW w:w="1446" w:type="dxa"/>
            <w:tcBorders>
              <w:top w:val="single" w:sz="4" w:space="0" w:color="000000"/>
              <w:bottom w:val="single" w:sz="4" w:space="0" w:color="000000"/>
            </w:tcBorders>
          </w:tcPr>
          <w:p w:rsidR="00A02ECF" w:rsidRDefault="006104A2">
            <w:pPr>
              <w:jc w:val="right"/>
            </w:pPr>
            <w:r>
              <w:t>52,94</w:t>
            </w:r>
          </w:p>
        </w:tc>
        <w:tc>
          <w:tcPr>
            <w:tcW w:w="1559" w:type="dxa"/>
            <w:tcBorders>
              <w:top w:val="single" w:sz="4" w:space="0" w:color="000000"/>
              <w:bottom w:val="single" w:sz="4" w:space="0" w:color="000000"/>
            </w:tcBorders>
            <w:vAlign w:val="bottom"/>
          </w:tcPr>
          <w:p w:rsidR="00A02ECF" w:rsidRDefault="006104A2">
            <w:pPr>
              <w:jc w:val="right"/>
            </w:pPr>
            <w:r>
              <w:rPr>
                <w:color w:val="000000"/>
              </w:rPr>
              <w:t>52,26</w:t>
            </w:r>
          </w:p>
        </w:tc>
        <w:tc>
          <w:tcPr>
            <w:tcW w:w="1701" w:type="dxa"/>
            <w:tcBorders>
              <w:top w:val="single" w:sz="4" w:space="0" w:color="000000"/>
              <w:bottom w:val="single" w:sz="4" w:space="0" w:color="000000"/>
            </w:tcBorders>
            <w:shd w:val="clear" w:color="auto" w:fill="FFFFFF"/>
            <w:vAlign w:val="bottom"/>
          </w:tcPr>
          <w:p w:rsidR="00A02ECF" w:rsidRDefault="006104A2">
            <w:pPr>
              <w:jc w:val="right"/>
            </w:pPr>
            <w:r>
              <w:rPr>
                <w:color w:val="000000"/>
              </w:rPr>
              <w:t>-1,28</w:t>
            </w:r>
          </w:p>
        </w:tc>
      </w:tr>
    </w:tbl>
    <w:p w:rsidR="00A02ECF" w:rsidRDefault="006104A2">
      <w:pPr>
        <w:rPr>
          <w:sz w:val="18"/>
          <w:szCs w:val="18"/>
        </w:rPr>
      </w:pPr>
      <w:r>
        <w:rPr>
          <w:rFonts w:eastAsia="Calibri"/>
          <w:b/>
          <w:bCs/>
          <w:color w:val="000000"/>
          <w:sz w:val="18"/>
          <w:szCs w:val="18"/>
        </w:rPr>
        <w:t xml:space="preserve">Примечание. </w:t>
      </w:r>
      <w:r>
        <w:rPr>
          <w:sz w:val="18"/>
          <w:szCs w:val="18"/>
        </w:rPr>
        <w:t>Без учета давальческого сырья</w:t>
      </w:r>
    </w:p>
    <w:p w:rsidR="00A02ECF" w:rsidRDefault="006104A2">
      <w:pPr>
        <w:pStyle w:val="a3"/>
        <w:spacing w:before="60" w:after="0"/>
        <w:ind w:left="0"/>
        <w:contextualSpacing w:val="0"/>
        <w:jc w:val="both"/>
        <w:rPr>
          <w:rFonts w:eastAsia="Calibri"/>
          <w:b/>
          <w:i/>
          <w:iCs/>
          <w:lang w:eastAsia="en-US"/>
        </w:rPr>
      </w:pPr>
      <w:r>
        <w:rPr>
          <w:rFonts w:eastAsia="Calibri"/>
          <w:b/>
          <w:i/>
          <w:iCs/>
          <w:lang w:eastAsia="en-US"/>
        </w:rPr>
        <w:t xml:space="preserve">В отчетном году на НПЗ Газпром нефти было переработано рекордное количество нефтяного сырья, что позволило увеличить производство и поставки на внутренний рынок востребованных моторных топлив. Достичь таких результатов удалось во многом за счет переноса на более поздний период намеченного на сентябрь 2025 года планового ремонта технологических установок Омского НПЗ. </w:t>
      </w:r>
    </w:p>
    <w:p w:rsidR="00A02ECF" w:rsidRDefault="006104A2">
      <w:pPr>
        <w:pStyle w:val="aff6"/>
        <w:jc w:val="both"/>
        <w:rPr>
          <w:i/>
          <w:iCs/>
          <w:sz w:val="20"/>
          <w:szCs w:val="20"/>
        </w:rPr>
      </w:pPr>
      <w:r>
        <w:rPr>
          <w:i/>
          <w:iCs/>
          <w:sz w:val="20"/>
          <w:szCs w:val="20"/>
        </w:rPr>
        <w:t>Группа Газпром расширяет поставки на российский рынок современных битумных и смазочных материалов. Продолжается модернизация НПЗ — строительство новых, а также реконструкция, модернизация существующих объектов и оборудования с внедрением инновационных технических решений</w:t>
      </w:r>
      <w:r>
        <w:rPr>
          <w:sz w:val="20"/>
          <w:szCs w:val="20"/>
        </w:rPr>
        <w:t>.</w:t>
      </w:r>
    </w:p>
    <w:p w:rsidR="00A02ECF" w:rsidRDefault="006104A2">
      <w:pPr>
        <w:spacing w:before="60"/>
        <w:jc w:val="both"/>
        <w:rPr>
          <w:b/>
          <w:i/>
        </w:rPr>
      </w:pPr>
      <w:r>
        <w:rPr>
          <w:b/>
          <w:i/>
        </w:rPr>
        <w:t>На заводе по крупнотоннажному производству СПГ проекта «Сахалин-2» в отчетном году произведено 10,3 млн т СПГ, что соответствует уровню 2024 года.</w:t>
      </w:r>
    </w:p>
    <w:p w:rsidR="00A02ECF" w:rsidRDefault="00A02ECF">
      <w:pPr>
        <w:rPr>
          <w:b/>
          <w:bCs/>
          <w:u w:val="single"/>
        </w:rPr>
      </w:pPr>
    </w:p>
    <w:p w:rsidR="00A02ECF" w:rsidRDefault="006104A2">
      <w:pPr>
        <w:rPr>
          <w:b/>
          <w:bCs/>
          <w:u w:val="single"/>
        </w:rPr>
      </w:pPr>
      <w:bookmarkStart w:id="81" w:name="_Hlk177566506"/>
      <w:bookmarkStart w:id="82" w:name="_Hlk102549341"/>
      <w:r>
        <w:rPr>
          <w:b/>
          <w:bCs/>
          <w:u w:val="single"/>
        </w:rPr>
        <w:t>Реализация жидких углеводородов и продуктов их переработки</w:t>
      </w:r>
      <w:bookmarkEnd w:id="77"/>
    </w:p>
    <w:p w:rsidR="00A02ECF" w:rsidRDefault="006104A2">
      <w:pPr>
        <w:spacing w:before="60"/>
        <w:jc w:val="both"/>
        <w:rPr>
          <w:b/>
          <w:bCs/>
          <w:i/>
          <w:iCs/>
          <w:color w:val="000000"/>
        </w:rPr>
      </w:pPr>
      <w:r>
        <w:rPr>
          <w:b/>
          <w:bCs/>
          <w:i/>
          <w:iCs/>
          <w:color w:val="000000"/>
        </w:rPr>
        <w:t xml:space="preserve">Группой Газпром в 2025 году реализовано </w:t>
      </w:r>
      <w:r>
        <w:rPr>
          <w:rFonts w:eastAsiaTheme="minorHAnsi"/>
          <w:b/>
          <w:bCs/>
          <w:i/>
          <w:iCs/>
          <w:lang w:eastAsia="en-US"/>
        </w:rPr>
        <w:t>35,11</w:t>
      </w:r>
      <w:r>
        <w:rPr>
          <w:b/>
          <w:bCs/>
          <w:i/>
          <w:iCs/>
          <w:color w:val="000000"/>
        </w:rPr>
        <w:t xml:space="preserve"> млн т сырой нефти и стабильного газового конденсата (в 2024 году – </w:t>
      </w:r>
      <w:r>
        <w:rPr>
          <w:rFonts w:eastAsia="Aptos"/>
          <w:b/>
          <w:bCs/>
          <w:i/>
          <w:iCs/>
          <w:lang w:eastAsia="en-US"/>
        </w:rPr>
        <w:t>36,20</w:t>
      </w:r>
      <w:r>
        <w:rPr>
          <w:b/>
          <w:bCs/>
          <w:i/>
          <w:iCs/>
          <w:color w:val="000000"/>
        </w:rPr>
        <w:t xml:space="preserve"> млн т) и </w:t>
      </w:r>
      <w:r>
        <w:rPr>
          <w:rFonts w:eastAsia="Aptos"/>
          <w:b/>
          <w:bCs/>
          <w:i/>
          <w:iCs/>
          <w:lang w:eastAsia="en-US"/>
        </w:rPr>
        <w:t>67,41</w:t>
      </w:r>
      <w:r>
        <w:rPr>
          <w:b/>
          <w:bCs/>
          <w:i/>
          <w:iCs/>
          <w:color w:val="000000"/>
        </w:rPr>
        <w:t xml:space="preserve"> млн т продуктов нефтегазопереработки (в 2024 году – </w:t>
      </w:r>
      <w:r>
        <w:rPr>
          <w:rFonts w:eastAsia="Aptos"/>
          <w:b/>
          <w:bCs/>
          <w:i/>
          <w:iCs/>
          <w:lang w:eastAsia="en-US"/>
        </w:rPr>
        <w:t>68,72</w:t>
      </w:r>
      <w:r>
        <w:rPr>
          <w:b/>
          <w:bCs/>
          <w:i/>
          <w:iCs/>
          <w:color w:val="000000"/>
        </w:rPr>
        <w:t xml:space="preserve"> млн т). </w:t>
      </w:r>
    </w:p>
    <w:p w:rsidR="00A02ECF" w:rsidRDefault="006104A2">
      <w:pPr>
        <w:spacing w:before="60"/>
        <w:jc w:val="both"/>
        <w:rPr>
          <w:b/>
          <w:bCs/>
          <w:i/>
          <w:iCs/>
          <w:color w:val="000000"/>
        </w:rPr>
      </w:pPr>
      <w:r>
        <w:rPr>
          <w:rFonts w:eastAsiaTheme="minorHAnsi"/>
          <w:b/>
          <w:i/>
        </w:rPr>
        <w:t>Также реализовано 1,9 млн куб. м газообразного гелия (в 2024 г. — 2,1 млн куб. м) и 2,3 тыс. т жидкого гелия (в 2024 г. — 1,8 тыс. т).</w:t>
      </w:r>
    </w:p>
    <w:p w:rsidR="00A02ECF" w:rsidRDefault="006104A2">
      <w:pPr>
        <w:jc w:val="both"/>
        <w:rPr>
          <w:rFonts w:eastAsiaTheme="minorHAnsi"/>
          <w:b/>
          <w:bCs/>
          <w:i/>
          <w:iCs/>
        </w:rPr>
      </w:pPr>
      <w:r>
        <w:rPr>
          <w:rFonts w:eastAsiaTheme="minorHAnsi"/>
          <w:b/>
          <w:bCs/>
          <w:i/>
          <w:iCs/>
        </w:rPr>
        <w:lastRenderedPageBreak/>
        <w:t xml:space="preserve">Динамика объемов реализации жидких углеводородов Группы Газпром соответствовала рыночной конъюнктуре и геополитической ситуации. </w:t>
      </w:r>
    </w:p>
    <w:p w:rsidR="00A02ECF" w:rsidRDefault="006104A2">
      <w:pPr>
        <w:jc w:val="both"/>
        <w:rPr>
          <w:rFonts w:eastAsiaTheme="minorHAnsi"/>
          <w:b/>
          <w:bCs/>
          <w:i/>
          <w:iCs/>
        </w:rPr>
      </w:pPr>
      <w:r>
        <w:rPr>
          <w:rFonts w:eastAsiaTheme="minorHAnsi"/>
          <w:b/>
          <w:bCs/>
          <w:i/>
          <w:iCs/>
        </w:rPr>
        <w:t>Уменьшение объемов реализации продуктов нефтегазопереработки в основном связано со снижением объемов переработки углеводородного сырья на мощностях перерабатывающего комплекса Группы Газпром.</w:t>
      </w:r>
    </w:p>
    <w:p w:rsidR="00A02ECF" w:rsidRDefault="006104A2">
      <w:pPr>
        <w:jc w:val="both"/>
        <w:rPr>
          <w:rFonts w:eastAsiaTheme="minorHAnsi"/>
          <w:b/>
          <w:bCs/>
          <w:i/>
          <w:iCs/>
        </w:rPr>
      </w:pPr>
      <w:r>
        <w:rPr>
          <w:rFonts w:eastAsiaTheme="minorHAnsi"/>
          <w:b/>
          <w:bCs/>
          <w:i/>
          <w:iCs/>
        </w:rPr>
        <w:t xml:space="preserve">Рост объемов реализации жидкого гелия связан с увеличением объемов его производства на Амурском ГПЗ в отчетном году.  </w:t>
      </w:r>
    </w:p>
    <w:p w:rsidR="00A02ECF" w:rsidRDefault="00A02ECF">
      <w:pPr>
        <w:rPr>
          <w:b/>
          <w:bCs/>
          <w:u w:val="single"/>
        </w:rPr>
      </w:pPr>
    </w:p>
    <w:p w:rsidR="00A02ECF" w:rsidRDefault="006104A2">
      <w:pPr>
        <w:rPr>
          <w:b/>
          <w:bCs/>
          <w:u w:val="single"/>
        </w:rPr>
      </w:pPr>
      <w:bookmarkStart w:id="83" w:name="_Hlk230095507"/>
      <w:r>
        <w:rPr>
          <w:b/>
          <w:bCs/>
          <w:u w:val="single"/>
        </w:rPr>
        <w:t xml:space="preserve">Производство и продажа электрической и тепловой энергии </w:t>
      </w:r>
    </w:p>
    <w:p w:rsidR="00A02ECF" w:rsidRDefault="006104A2">
      <w:pPr>
        <w:spacing w:before="120" w:after="0"/>
        <w:jc w:val="both"/>
        <w:rPr>
          <w:b/>
          <w:bCs/>
          <w:i/>
          <w:iCs/>
        </w:rPr>
      </w:pPr>
      <w:bookmarkStart w:id="84" w:name="_Hlk135995720"/>
      <w:bookmarkEnd w:id="78"/>
      <w:bookmarkEnd w:id="79"/>
      <w:bookmarkEnd w:id="81"/>
      <w:bookmarkEnd w:id="82"/>
      <w:bookmarkEnd w:id="83"/>
      <w:r>
        <w:rPr>
          <w:b/>
          <w:bCs/>
          <w:i/>
          <w:iCs/>
          <w:color w:val="000000"/>
        </w:rPr>
        <w:t xml:space="preserve">В структуре Группы Газпром создан крупнейший в России вертикально интегрированный электроэнергетический холдинг, объединивший активы в сфере генерации электрической и тепловой энергии, передачи и сбыта тепловой энергии, а также в смежных сегментах — Газпром энергохолдинг. </w:t>
      </w:r>
    </w:p>
    <w:p w:rsidR="00A02ECF" w:rsidRDefault="00A02ECF">
      <w:pPr>
        <w:spacing w:before="0" w:after="0"/>
        <w:jc w:val="both"/>
        <w:rPr>
          <w:b/>
          <w:bCs/>
          <w:i/>
          <w:iCs/>
        </w:rPr>
      </w:pPr>
    </w:p>
    <w:p w:rsidR="00A02ECF" w:rsidRDefault="006104A2">
      <w:pPr>
        <w:spacing w:before="0"/>
        <w:rPr>
          <w:b/>
          <w:bCs/>
        </w:rPr>
      </w:pPr>
      <w:bookmarkStart w:id="85" w:name="_Hlk113883243"/>
      <w:r>
        <w:rPr>
          <w:b/>
          <w:bCs/>
        </w:rPr>
        <w:t>Установленные электрические мощности Группы Газпром по состоянию на 31 декабря, ГВт</w:t>
      </w:r>
    </w:p>
    <w:tbl>
      <w:tblPr>
        <w:tblW w:w="8647"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7"/>
        <w:gridCol w:w="2693"/>
        <w:gridCol w:w="2977"/>
      </w:tblGrid>
      <w:tr w:rsidR="00A02ECF">
        <w:tc>
          <w:tcPr>
            <w:tcW w:w="2977" w:type="dxa"/>
            <w:tcBorders>
              <w:bottom w:val="single" w:sz="4" w:space="0" w:color="000000"/>
            </w:tcBorders>
            <w:vAlign w:val="center"/>
          </w:tcPr>
          <w:p w:rsidR="00A02ECF" w:rsidRDefault="006104A2">
            <w:pPr>
              <w:spacing w:before="60" w:after="60"/>
              <w:jc w:val="center"/>
              <w:rPr>
                <w:b/>
              </w:rPr>
            </w:pPr>
            <w:r>
              <w:rPr>
                <w:b/>
              </w:rPr>
              <w:t>2024 г.</w:t>
            </w:r>
          </w:p>
        </w:tc>
        <w:tc>
          <w:tcPr>
            <w:tcW w:w="2693" w:type="dxa"/>
            <w:tcBorders>
              <w:bottom w:val="single" w:sz="4" w:space="0" w:color="000000"/>
            </w:tcBorders>
            <w:vAlign w:val="center"/>
          </w:tcPr>
          <w:p w:rsidR="00A02ECF" w:rsidRDefault="006104A2">
            <w:pPr>
              <w:spacing w:before="60" w:after="60"/>
              <w:jc w:val="center"/>
              <w:rPr>
                <w:rFonts w:eastAsia="Calibri"/>
                <w:b/>
                <w:color w:val="000000"/>
                <w:sz w:val="22"/>
              </w:rPr>
            </w:pPr>
            <w:r>
              <w:rPr>
                <w:b/>
              </w:rPr>
              <w:t>2025 г.</w:t>
            </w:r>
          </w:p>
        </w:tc>
        <w:tc>
          <w:tcPr>
            <w:tcW w:w="2977" w:type="dxa"/>
            <w:tcBorders>
              <w:left w:val="single" w:sz="4" w:space="0" w:color="000000"/>
              <w:bottom w:val="single" w:sz="4" w:space="0" w:color="000000"/>
            </w:tcBorders>
            <w:vAlign w:val="center"/>
          </w:tcPr>
          <w:p w:rsidR="00A02ECF" w:rsidRDefault="006104A2">
            <w:pPr>
              <w:spacing w:before="60" w:after="60"/>
              <w:jc w:val="center"/>
              <w:rPr>
                <w:rFonts w:eastAsia="Calibri"/>
                <w:b/>
                <w:color w:val="000000"/>
                <w:sz w:val="22"/>
              </w:rPr>
            </w:pPr>
            <w:r>
              <w:rPr>
                <w:rFonts w:ascii="Times New Roman CYR" w:hAnsi="Times New Roman CYR" w:cs="Times New Roman CYR"/>
                <w:b/>
                <w:bCs/>
                <w:color w:val="000000"/>
              </w:rPr>
              <w:t>Изменение (%)</w:t>
            </w:r>
          </w:p>
        </w:tc>
      </w:tr>
      <w:tr w:rsidR="00A02ECF">
        <w:tc>
          <w:tcPr>
            <w:tcW w:w="2977" w:type="dxa"/>
          </w:tcPr>
          <w:p w:rsidR="00A02ECF" w:rsidRDefault="006104A2">
            <w:pPr>
              <w:jc w:val="center"/>
              <w:rPr>
                <w:rFonts w:eastAsia="Calibri"/>
                <w:color w:val="000000"/>
              </w:rPr>
            </w:pPr>
            <w:r>
              <w:rPr>
                <w:rFonts w:eastAsia="Calibri"/>
                <w:bCs/>
                <w:color w:val="000000"/>
              </w:rPr>
              <w:t>37,51</w:t>
            </w:r>
          </w:p>
        </w:tc>
        <w:tc>
          <w:tcPr>
            <w:tcW w:w="2693" w:type="dxa"/>
          </w:tcPr>
          <w:p w:rsidR="00A02ECF" w:rsidRDefault="006104A2">
            <w:pPr>
              <w:ind w:left="142"/>
              <w:jc w:val="center"/>
              <w:rPr>
                <w:rFonts w:ascii="Calibri" w:hAnsi="Calibri"/>
                <w:color w:val="000000"/>
                <w:highlight w:val="yellow"/>
              </w:rPr>
            </w:pPr>
            <w:r>
              <w:rPr>
                <w:rFonts w:eastAsia="Calibri"/>
                <w:color w:val="000000"/>
                <w:highlight w:val="white"/>
              </w:rPr>
              <w:t>37,33</w:t>
            </w:r>
          </w:p>
        </w:tc>
        <w:tc>
          <w:tcPr>
            <w:tcW w:w="2977" w:type="dxa"/>
            <w:tcBorders>
              <w:left w:val="single" w:sz="4" w:space="0" w:color="000000"/>
            </w:tcBorders>
          </w:tcPr>
          <w:p w:rsidR="00A02ECF" w:rsidRDefault="006104A2">
            <w:pPr>
              <w:jc w:val="center"/>
              <w:rPr>
                <w:rFonts w:eastAsia="Calibri"/>
                <w:sz w:val="22"/>
                <w:highlight w:val="yellow"/>
              </w:rPr>
            </w:pPr>
            <w:r>
              <w:rPr>
                <w:rFonts w:eastAsia="Calibri"/>
                <w:color w:val="000000"/>
                <w:highlight w:val="white"/>
              </w:rPr>
              <w:t>-0,48</w:t>
            </w:r>
          </w:p>
        </w:tc>
      </w:tr>
    </w:tbl>
    <w:p w:rsidR="00A02ECF" w:rsidRDefault="006104A2">
      <w:pPr>
        <w:jc w:val="both"/>
        <w:rPr>
          <w:b/>
          <w:sz w:val="18"/>
          <w:szCs w:val="18"/>
        </w:rPr>
      </w:pPr>
      <w:r>
        <w:rPr>
          <w:b/>
          <w:sz w:val="18"/>
          <w:szCs w:val="18"/>
        </w:rPr>
        <w:t xml:space="preserve">Примечание. </w:t>
      </w:r>
    </w:p>
    <w:p w:rsidR="00A02ECF" w:rsidRDefault="006104A2">
      <w:pPr>
        <w:jc w:val="both"/>
        <w:rPr>
          <w:b/>
          <w:sz w:val="18"/>
          <w:szCs w:val="18"/>
        </w:rPr>
      </w:pPr>
      <w:r>
        <w:rPr>
          <w:sz w:val="18"/>
          <w:szCs w:val="18"/>
        </w:rPr>
        <w:t xml:space="preserve">Генерирующие мощности по состоянию на 31 декабря приводятся по Группе Газпром с учетом зарубежных активов. </w:t>
      </w:r>
    </w:p>
    <w:p w:rsidR="00A02ECF" w:rsidRDefault="00A02ECF">
      <w:pPr>
        <w:spacing w:before="0" w:after="0"/>
        <w:rPr>
          <w:b/>
        </w:rPr>
      </w:pPr>
    </w:p>
    <w:p w:rsidR="00A02ECF" w:rsidRDefault="006104A2">
      <w:pPr>
        <w:spacing w:before="0"/>
        <w:rPr>
          <w:b/>
        </w:rPr>
      </w:pPr>
      <w:r>
        <w:rPr>
          <w:b/>
        </w:rPr>
        <w:t xml:space="preserve">Установленные тепловые мощности Группы Газпром по состоянию на 31 декабря, тыс. Гкал/ч </w:t>
      </w:r>
    </w:p>
    <w:tbl>
      <w:tblPr>
        <w:tblW w:w="8647"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7"/>
        <w:gridCol w:w="2693"/>
        <w:gridCol w:w="2977"/>
      </w:tblGrid>
      <w:tr w:rsidR="00A02ECF">
        <w:tc>
          <w:tcPr>
            <w:tcW w:w="2977" w:type="dxa"/>
            <w:vAlign w:val="center"/>
          </w:tcPr>
          <w:p w:rsidR="00A02ECF" w:rsidRDefault="006104A2">
            <w:pPr>
              <w:spacing w:before="60" w:after="60"/>
              <w:jc w:val="center"/>
              <w:rPr>
                <w:b/>
              </w:rPr>
            </w:pPr>
            <w:r>
              <w:rPr>
                <w:b/>
              </w:rPr>
              <w:t>2024 г.</w:t>
            </w:r>
          </w:p>
        </w:tc>
        <w:tc>
          <w:tcPr>
            <w:tcW w:w="2693" w:type="dxa"/>
            <w:vAlign w:val="center"/>
          </w:tcPr>
          <w:p w:rsidR="00A02ECF" w:rsidRDefault="006104A2">
            <w:pPr>
              <w:spacing w:before="60" w:after="60"/>
              <w:jc w:val="center"/>
              <w:rPr>
                <w:rFonts w:eastAsia="Calibri"/>
                <w:b/>
                <w:color w:val="000000"/>
                <w:sz w:val="22"/>
              </w:rPr>
            </w:pPr>
            <w:r>
              <w:rPr>
                <w:b/>
              </w:rPr>
              <w:t>2025 г.</w:t>
            </w:r>
          </w:p>
        </w:tc>
        <w:tc>
          <w:tcPr>
            <w:tcW w:w="2977" w:type="dxa"/>
            <w:tcBorders>
              <w:left w:val="single" w:sz="4" w:space="0" w:color="000000"/>
            </w:tcBorders>
            <w:vAlign w:val="center"/>
          </w:tcPr>
          <w:p w:rsidR="00A02ECF" w:rsidRDefault="006104A2">
            <w:pPr>
              <w:spacing w:before="60" w:after="60"/>
              <w:jc w:val="center"/>
              <w:rPr>
                <w:rFonts w:eastAsia="Calibri"/>
                <w:b/>
                <w:color w:val="000000"/>
                <w:sz w:val="22"/>
              </w:rPr>
            </w:pPr>
            <w:r>
              <w:rPr>
                <w:rFonts w:ascii="Times New Roman CYR" w:hAnsi="Times New Roman CYR" w:cs="Times New Roman CYR"/>
                <w:b/>
                <w:bCs/>
                <w:color w:val="000000"/>
              </w:rPr>
              <w:t>Изменение (%)</w:t>
            </w:r>
          </w:p>
        </w:tc>
      </w:tr>
      <w:tr w:rsidR="00A02ECF">
        <w:tc>
          <w:tcPr>
            <w:tcW w:w="2977" w:type="dxa"/>
          </w:tcPr>
          <w:p w:rsidR="00A02ECF" w:rsidRDefault="006104A2">
            <w:pPr>
              <w:jc w:val="center"/>
              <w:rPr>
                <w:rFonts w:eastAsia="Calibri"/>
                <w:color w:val="000000"/>
              </w:rPr>
            </w:pPr>
            <w:r>
              <w:rPr>
                <w:rFonts w:eastAsia="Calibri"/>
                <w:bCs/>
                <w:color w:val="000000"/>
              </w:rPr>
              <w:t>78,18</w:t>
            </w:r>
          </w:p>
        </w:tc>
        <w:tc>
          <w:tcPr>
            <w:tcW w:w="2693" w:type="dxa"/>
          </w:tcPr>
          <w:p w:rsidR="00A02ECF" w:rsidRDefault="006104A2">
            <w:pPr>
              <w:ind w:left="142"/>
              <w:jc w:val="center"/>
              <w:rPr>
                <w:rFonts w:ascii="Calibri" w:hAnsi="Calibri"/>
                <w:color w:val="000000"/>
                <w:highlight w:val="yellow"/>
              </w:rPr>
            </w:pPr>
            <w:r>
              <w:rPr>
                <w:rFonts w:eastAsia="Calibri"/>
                <w:color w:val="000000"/>
                <w:highlight w:val="white"/>
              </w:rPr>
              <w:t>76</w:t>
            </w:r>
            <w:r>
              <w:rPr>
                <w:rFonts w:ascii="Arial" w:eastAsia="Arial" w:hAnsi="Arial" w:cs="Arial"/>
                <w:color w:val="0070C0"/>
                <w:highlight w:val="white"/>
              </w:rPr>
              <w:t>,</w:t>
            </w:r>
            <w:r>
              <w:rPr>
                <w:rFonts w:eastAsia="Calibri"/>
                <w:color w:val="000000"/>
                <w:highlight w:val="white"/>
              </w:rPr>
              <w:t>61</w:t>
            </w:r>
          </w:p>
        </w:tc>
        <w:tc>
          <w:tcPr>
            <w:tcW w:w="2977" w:type="dxa"/>
            <w:tcBorders>
              <w:left w:val="single" w:sz="4" w:space="0" w:color="000000"/>
            </w:tcBorders>
          </w:tcPr>
          <w:p w:rsidR="00A02ECF" w:rsidRDefault="006104A2">
            <w:pPr>
              <w:jc w:val="center"/>
              <w:rPr>
                <w:rFonts w:eastAsia="Calibri"/>
                <w:sz w:val="22"/>
                <w:highlight w:val="yellow"/>
                <w:lang w:val="en-US"/>
              </w:rPr>
            </w:pPr>
            <w:r>
              <w:rPr>
                <w:rFonts w:eastAsia="Calibri"/>
                <w:color w:val="000000"/>
                <w:highlight w:val="white"/>
              </w:rPr>
              <w:t>-2,01</w:t>
            </w:r>
          </w:p>
        </w:tc>
      </w:tr>
    </w:tbl>
    <w:p w:rsidR="00A02ECF" w:rsidRDefault="006104A2">
      <w:pPr>
        <w:jc w:val="both"/>
        <w:rPr>
          <w:b/>
          <w:sz w:val="18"/>
          <w:szCs w:val="18"/>
          <w:highlight w:val="white"/>
        </w:rPr>
      </w:pPr>
      <w:r>
        <w:rPr>
          <w:b/>
          <w:sz w:val="18"/>
          <w:szCs w:val="18"/>
          <w:highlight w:val="white"/>
        </w:rPr>
        <w:t xml:space="preserve">Примечание. </w:t>
      </w:r>
    </w:p>
    <w:p w:rsidR="00A02ECF" w:rsidRDefault="006104A2">
      <w:pPr>
        <w:jc w:val="both"/>
        <w:rPr>
          <w:b/>
          <w:sz w:val="18"/>
          <w:szCs w:val="18"/>
          <w:highlight w:val="white"/>
        </w:rPr>
      </w:pPr>
      <w:r>
        <w:rPr>
          <w:sz w:val="18"/>
          <w:szCs w:val="18"/>
          <w:highlight w:val="white"/>
        </w:rPr>
        <w:t xml:space="preserve">Тепловые мощности по состоянию на 31 декабря приводятся по Группе Газпром с учетом зарубежных активов. </w:t>
      </w:r>
    </w:p>
    <w:p w:rsidR="00A02ECF" w:rsidRDefault="006104A2">
      <w:pPr>
        <w:spacing w:before="60"/>
        <w:jc w:val="both"/>
        <w:rPr>
          <w:b/>
          <w:bCs/>
          <w:i/>
          <w:iCs/>
          <w:highlight w:val="white"/>
        </w:rPr>
      </w:pPr>
      <w:r>
        <w:rPr>
          <w:b/>
          <w:bCs/>
          <w:i/>
          <w:iCs/>
          <w:szCs w:val="22"/>
          <w:highlight w:val="white"/>
        </w:rPr>
        <w:t>Изменение показателей установленной мощности в 2025 году по сравнению с 2024 годом обусловлено, главным образом, выводом старого и неэффективного генерирующего оборудования, продажей электростанций, перемаркировкой и вводом оборудования после модернизации.</w:t>
      </w:r>
    </w:p>
    <w:p w:rsidR="00A02ECF" w:rsidRDefault="00A02ECF">
      <w:pPr>
        <w:spacing w:before="0" w:after="0"/>
        <w:jc w:val="both"/>
        <w:rPr>
          <w:b/>
          <w:bCs/>
          <w:i/>
          <w:iCs/>
        </w:rPr>
      </w:pPr>
    </w:p>
    <w:p w:rsidR="00A02ECF" w:rsidRDefault="006104A2">
      <w:pPr>
        <w:spacing w:before="60"/>
        <w:jc w:val="both"/>
        <w:rPr>
          <w:b/>
          <w:bCs/>
          <w:i/>
          <w:iCs/>
          <w:color w:val="000000"/>
          <w:szCs w:val="22"/>
        </w:rPr>
      </w:pPr>
      <w:r>
        <w:rPr>
          <w:b/>
          <w:bCs/>
          <w:i/>
          <w:iCs/>
        </w:rPr>
        <w:t xml:space="preserve">В отчетном году Группой </w:t>
      </w:r>
      <w:r>
        <w:rPr>
          <w:b/>
          <w:bCs/>
          <w:i/>
          <w:iCs/>
          <w:color w:val="000000"/>
          <w:szCs w:val="22"/>
        </w:rPr>
        <w:t xml:space="preserve">произведено </w:t>
      </w:r>
      <w:r>
        <w:rPr>
          <w:b/>
          <w:bCs/>
          <w:i/>
          <w:iCs/>
          <w:highlight w:val="white"/>
        </w:rPr>
        <w:t>157,33</w:t>
      </w:r>
      <w:r>
        <w:rPr>
          <w:b/>
          <w:bCs/>
          <w:i/>
          <w:iCs/>
          <w:szCs w:val="22"/>
        </w:rPr>
        <w:t xml:space="preserve"> млрд кВт•ч электрической и </w:t>
      </w:r>
      <w:r>
        <w:rPr>
          <w:b/>
          <w:bCs/>
          <w:i/>
          <w:iCs/>
          <w:highlight w:val="white"/>
        </w:rPr>
        <w:t>136,27</w:t>
      </w:r>
      <w:r>
        <w:rPr>
          <w:b/>
          <w:bCs/>
          <w:i/>
          <w:iCs/>
        </w:rPr>
        <w:t xml:space="preserve"> </w:t>
      </w:r>
      <w:r>
        <w:rPr>
          <w:b/>
          <w:bCs/>
          <w:i/>
          <w:iCs/>
          <w:szCs w:val="22"/>
        </w:rPr>
        <w:t xml:space="preserve">млн </w:t>
      </w:r>
      <w:r>
        <w:rPr>
          <w:b/>
          <w:bCs/>
          <w:i/>
          <w:iCs/>
          <w:color w:val="000000"/>
          <w:szCs w:val="22"/>
        </w:rPr>
        <w:t xml:space="preserve">Гкал тепловой энергии. </w:t>
      </w:r>
    </w:p>
    <w:p w:rsidR="00A02ECF" w:rsidRDefault="006104A2">
      <w:pPr>
        <w:pStyle w:val="aff6"/>
        <w:spacing w:before="120"/>
        <w:jc w:val="left"/>
        <w:rPr>
          <w:sz w:val="20"/>
          <w:szCs w:val="20"/>
        </w:rPr>
      </w:pPr>
      <w:r>
        <w:rPr>
          <w:sz w:val="20"/>
          <w:szCs w:val="20"/>
        </w:rPr>
        <w:t>Производство электрической энергии Группой Газпром, млрд кВт</w:t>
      </w:r>
      <w:r>
        <w:rPr>
          <w:rFonts w:ascii="Symbol" w:eastAsia="Symbol" w:hAnsi="Symbol" w:cs="Symbol"/>
          <w:color w:val="000000"/>
          <w:sz w:val="20"/>
          <w:szCs w:val="20"/>
        </w:rPr>
        <w:t></w:t>
      </w:r>
      <w:r>
        <w:rPr>
          <w:sz w:val="20"/>
          <w:szCs w:val="20"/>
        </w:rPr>
        <w:t xml:space="preserve">ч </w:t>
      </w:r>
    </w:p>
    <w:tbl>
      <w:tblPr>
        <w:tblW w:w="867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06"/>
        <w:gridCol w:w="2693"/>
        <w:gridCol w:w="2976"/>
      </w:tblGrid>
      <w:tr w:rsidR="00A02ECF">
        <w:tc>
          <w:tcPr>
            <w:tcW w:w="3006" w:type="dxa"/>
            <w:tcBorders>
              <w:bottom w:val="single" w:sz="4" w:space="0" w:color="000000"/>
            </w:tcBorders>
            <w:vAlign w:val="center"/>
          </w:tcPr>
          <w:p w:rsidR="00A02ECF" w:rsidRDefault="006104A2">
            <w:pPr>
              <w:keepNext/>
              <w:keepLines/>
              <w:spacing w:after="60"/>
              <w:jc w:val="center"/>
              <w:rPr>
                <w:b/>
              </w:rPr>
            </w:pPr>
            <w:r>
              <w:rPr>
                <w:b/>
              </w:rPr>
              <w:t>2024 г.</w:t>
            </w:r>
          </w:p>
        </w:tc>
        <w:tc>
          <w:tcPr>
            <w:tcW w:w="2693" w:type="dxa"/>
            <w:tcBorders>
              <w:bottom w:val="single" w:sz="4" w:space="0" w:color="000000"/>
            </w:tcBorders>
            <w:vAlign w:val="center"/>
          </w:tcPr>
          <w:p w:rsidR="00A02ECF" w:rsidRDefault="006104A2">
            <w:pPr>
              <w:keepNext/>
              <w:keepLines/>
              <w:spacing w:after="60"/>
              <w:jc w:val="center"/>
              <w:rPr>
                <w:b/>
                <w:bCs/>
              </w:rPr>
            </w:pPr>
            <w:r>
              <w:rPr>
                <w:b/>
              </w:rPr>
              <w:t>2025 г.</w:t>
            </w:r>
          </w:p>
        </w:tc>
        <w:tc>
          <w:tcPr>
            <w:tcW w:w="2976" w:type="dxa"/>
            <w:tcBorders>
              <w:bottom w:val="single" w:sz="4" w:space="0" w:color="000000"/>
            </w:tcBorders>
            <w:vAlign w:val="center"/>
          </w:tcPr>
          <w:p w:rsidR="00A02ECF" w:rsidRDefault="006104A2">
            <w:pPr>
              <w:spacing w:before="60" w:after="60"/>
              <w:jc w:val="center"/>
              <w:rPr>
                <w:b/>
                <w:bCs/>
              </w:rPr>
            </w:pPr>
            <w:r>
              <w:rPr>
                <w:rFonts w:ascii="Times New Roman CYR" w:hAnsi="Times New Roman CYR" w:cs="Times New Roman CYR"/>
                <w:b/>
                <w:bCs/>
                <w:color w:val="000000"/>
              </w:rPr>
              <w:t>Изменение (%)</w:t>
            </w:r>
          </w:p>
        </w:tc>
      </w:tr>
      <w:tr w:rsidR="00A02ECF">
        <w:tc>
          <w:tcPr>
            <w:tcW w:w="3006" w:type="dxa"/>
          </w:tcPr>
          <w:p w:rsidR="00A02ECF" w:rsidRDefault="006104A2">
            <w:pPr>
              <w:spacing w:after="60"/>
              <w:jc w:val="center"/>
              <w:rPr>
                <w:rFonts w:eastAsia="Calibri"/>
                <w:color w:val="000000"/>
              </w:rPr>
            </w:pPr>
            <w:r>
              <w:rPr>
                <w:rFonts w:eastAsia="Calibri"/>
                <w:bCs/>
                <w:color w:val="000000"/>
              </w:rPr>
              <w:t>160,41</w:t>
            </w:r>
          </w:p>
        </w:tc>
        <w:tc>
          <w:tcPr>
            <w:tcW w:w="2693" w:type="dxa"/>
          </w:tcPr>
          <w:p w:rsidR="00A02ECF" w:rsidRDefault="006104A2">
            <w:pPr>
              <w:spacing w:after="60"/>
              <w:jc w:val="center"/>
              <w:rPr>
                <w:bCs/>
                <w:highlight w:val="yellow"/>
              </w:rPr>
            </w:pPr>
            <w:r>
              <w:rPr>
                <w:highlight w:val="white"/>
              </w:rPr>
              <w:t>157,33</w:t>
            </w:r>
          </w:p>
        </w:tc>
        <w:tc>
          <w:tcPr>
            <w:tcW w:w="2976" w:type="dxa"/>
          </w:tcPr>
          <w:p w:rsidR="00A02ECF" w:rsidRDefault="006104A2">
            <w:pPr>
              <w:spacing w:after="60"/>
              <w:jc w:val="center"/>
              <w:rPr>
                <w:highlight w:val="yellow"/>
              </w:rPr>
            </w:pPr>
            <w:r>
              <w:rPr>
                <w:rFonts w:eastAsia="Calibri"/>
                <w:color w:val="000000"/>
                <w:highlight w:val="white"/>
              </w:rPr>
              <w:t>-1,92</w:t>
            </w:r>
          </w:p>
        </w:tc>
      </w:tr>
    </w:tbl>
    <w:p w:rsidR="00A02ECF" w:rsidRDefault="006104A2">
      <w:pPr>
        <w:spacing w:before="60"/>
        <w:jc w:val="both"/>
        <w:rPr>
          <w:b/>
          <w:bCs/>
        </w:rPr>
      </w:pPr>
      <w:r>
        <w:rPr>
          <w:b/>
          <w:bCs/>
        </w:rPr>
        <w:t xml:space="preserve">Примечания. </w:t>
      </w:r>
    </w:p>
    <w:p w:rsidR="00A02ECF" w:rsidRDefault="006104A2">
      <w:pPr>
        <w:pStyle w:val="SubtleEmphasisListParagraph1BulletIRAOACList011head5113TITLE2221"/>
        <w:widowControl w:val="0"/>
        <w:spacing w:before="60" w:after="40" w:line="240" w:lineRule="auto"/>
        <w:ind w:left="0"/>
        <w:jc w:val="both"/>
        <w:rPr>
          <w:rFonts w:ascii="Times New Roman" w:eastAsia="Calibri" w:hAnsi="Times New Roman"/>
          <w:bCs/>
          <w:sz w:val="18"/>
          <w:szCs w:val="18"/>
          <w:lang w:val="ru-RU"/>
        </w:rPr>
      </w:pPr>
      <w:r>
        <w:rPr>
          <w:rFonts w:ascii="Times New Roman" w:eastAsia="Calibri" w:hAnsi="Times New Roman"/>
          <w:bCs/>
          <w:sz w:val="18"/>
          <w:szCs w:val="18"/>
          <w:lang w:val="ru-RU"/>
        </w:rPr>
        <w:t>1. Приведены данные по выработке электроэнергии, то есть по количеству электроэнергии, произведенному электростанциями.</w:t>
      </w:r>
    </w:p>
    <w:p w:rsidR="00A02ECF" w:rsidRDefault="006104A2">
      <w:pPr>
        <w:pStyle w:val="SubtleEmphasisListParagraph1BulletIRAOACList011head5113TITLE2221"/>
        <w:widowControl w:val="0"/>
        <w:spacing w:before="20" w:after="40" w:line="240" w:lineRule="auto"/>
        <w:ind w:left="0"/>
        <w:jc w:val="both"/>
        <w:rPr>
          <w:rFonts w:ascii="Times New Roman" w:hAnsi="Times New Roman"/>
          <w:b/>
          <w:sz w:val="18"/>
          <w:szCs w:val="18"/>
          <w:lang w:val="ru-RU"/>
        </w:rPr>
      </w:pPr>
      <w:r>
        <w:rPr>
          <w:rFonts w:ascii="Times New Roman" w:hAnsi="Times New Roman"/>
          <w:sz w:val="18"/>
          <w:szCs w:val="18"/>
          <w:lang w:val="ru-RU"/>
        </w:rPr>
        <w:t xml:space="preserve">2. Выработка электрической энергии приводится по Группе Газпром с учетом зарубежных активов. </w:t>
      </w:r>
    </w:p>
    <w:p w:rsidR="00A02ECF" w:rsidRDefault="006104A2">
      <w:pPr>
        <w:pStyle w:val="aff6"/>
        <w:jc w:val="both"/>
        <w:rPr>
          <w:rFonts w:eastAsia="Times New Roman"/>
          <w:bCs/>
          <w:i/>
          <w:iCs/>
          <w:color w:val="000000"/>
          <w:sz w:val="20"/>
          <w:szCs w:val="22"/>
          <w:highlight w:val="white"/>
        </w:rPr>
      </w:pPr>
      <w:r>
        <w:rPr>
          <w:rFonts w:eastAsia="Times New Roman"/>
          <w:bCs/>
          <w:i/>
          <w:iCs/>
          <w:color w:val="000000"/>
          <w:sz w:val="20"/>
          <w:szCs w:val="22"/>
          <w:highlight w:val="white"/>
          <w:lang w:eastAsia="ru-RU"/>
        </w:rPr>
        <w:t>Незначительное снижение</w:t>
      </w:r>
      <w:r>
        <w:rPr>
          <w:rFonts w:eastAsia="Times New Roman"/>
          <w:bCs/>
          <w:color w:val="000000"/>
          <w:sz w:val="20"/>
          <w:szCs w:val="22"/>
          <w:highlight w:val="white"/>
          <w:lang w:eastAsia="ru-RU"/>
        </w:rPr>
        <w:t xml:space="preserve"> </w:t>
      </w:r>
      <w:r>
        <w:rPr>
          <w:rFonts w:eastAsia="Times New Roman"/>
          <w:bCs/>
          <w:i/>
          <w:iCs/>
          <w:color w:val="000000"/>
          <w:sz w:val="20"/>
          <w:szCs w:val="22"/>
          <w:highlight w:val="white"/>
          <w:lang w:eastAsia="ru-RU"/>
        </w:rPr>
        <w:t xml:space="preserve">объемов выработки электроэнергии обусловлено загрузкой </w:t>
      </w:r>
      <w:r>
        <w:rPr>
          <w:i/>
          <w:iCs/>
          <w:sz w:val="20"/>
          <w:szCs w:val="20"/>
        </w:rPr>
        <w:t>оборудования на оптовом рынке электроэнергии и мощности (ОРЭМ)</w:t>
      </w:r>
      <w:r>
        <w:rPr>
          <w:rFonts w:eastAsia="Times New Roman"/>
          <w:bCs/>
          <w:i/>
          <w:iCs/>
          <w:color w:val="000000"/>
          <w:sz w:val="20"/>
          <w:szCs w:val="22"/>
          <w:highlight w:val="white"/>
          <w:lang w:eastAsia="ru-RU"/>
        </w:rPr>
        <w:t>, а также продажей активов.</w:t>
      </w:r>
    </w:p>
    <w:p w:rsidR="00A02ECF" w:rsidRDefault="006104A2">
      <w:pPr>
        <w:pStyle w:val="aff6"/>
        <w:spacing w:before="120" w:after="20"/>
        <w:jc w:val="left"/>
        <w:rPr>
          <w:sz w:val="20"/>
          <w:szCs w:val="20"/>
        </w:rPr>
      </w:pPr>
      <w:r>
        <w:rPr>
          <w:sz w:val="20"/>
          <w:szCs w:val="20"/>
        </w:rPr>
        <w:t>Производство тепловой энергии Группой Газпром, млн Гкал</w:t>
      </w:r>
    </w:p>
    <w:tbl>
      <w:tblPr>
        <w:tblW w:w="867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06"/>
        <w:gridCol w:w="2693"/>
        <w:gridCol w:w="2976"/>
      </w:tblGrid>
      <w:tr w:rsidR="00A02ECF">
        <w:tc>
          <w:tcPr>
            <w:tcW w:w="3006" w:type="dxa"/>
            <w:tcBorders>
              <w:bottom w:val="single" w:sz="4" w:space="0" w:color="000000"/>
            </w:tcBorders>
            <w:vAlign w:val="center"/>
          </w:tcPr>
          <w:p w:rsidR="00A02ECF" w:rsidRDefault="006104A2">
            <w:pPr>
              <w:keepNext/>
              <w:keepLines/>
              <w:spacing w:after="60"/>
              <w:jc w:val="center"/>
              <w:rPr>
                <w:b/>
              </w:rPr>
            </w:pPr>
            <w:r>
              <w:rPr>
                <w:b/>
              </w:rPr>
              <w:t>2024 г.</w:t>
            </w:r>
          </w:p>
        </w:tc>
        <w:tc>
          <w:tcPr>
            <w:tcW w:w="2693" w:type="dxa"/>
            <w:tcBorders>
              <w:bottom w:val="single" w:sz="4" w:space="0" w:color="000000"/>
            </w:tcBorders>
            <w:vAlign w:val="center"/>
          </w:tcPr>
          <w:p w:rsidR="00A02ECF" w:rsidRDefault="006104A2">
            <w:pPr>
              <w:keepNext/>
              <w:keepLines/>
              <w:spacing w:after="60"/>
              <w:jc w:val="center"/>
              <w:rPr>
                <w:b/>
                <w:bCs/>
              </w:rPr>
            </w:pPr>
            <w:r>
              <w:rPr>
                <w:b/>
              </w:rPr>
              <w:t>2025 г.</w:t>
            </w:r>
          </w:p>
        </w:tc>
        <w:tc>
          <w:tcPr>
            <w:tcW w:w="2976" w:type="dxa"/>
            <w:tcBorders>
              <w:bottom w:val="single" w:sz="4" w:space="0" w:color="000000"/>
            </w:tcBorders>
            <w:vAlign w:val="center"/>
          </w:tcPr>
          <w:p w:rsidR="00A02ECF" w:rsidRDefault="006104A2">
            <w:pPr>
              <w:spacing w:before="60" w:after="60"/>
              <w:jc w:val="center"/>
              <w:rPr>
                <w:b/>
                <w:bCs/>
                <w:lang w:val="en-US"/>
              </w:rPr>
            </w:pPr>
            <w:r>
              <w:rPr>
                <w:rFonts w:ascii="Times New Roman CYR" w:hAnsi="Times New Roman CYR" w:cs="Times New Roman CYR"/>
                <w:b/>
                <w:bCs/>
                <w:color w:val="000000"/>
              </w:rPr>
              <w:t>Изменение (%)</w:t>
            </w:r>
          </w:p>
        </w:tc>
      </w:tr>
      <w:tr w:rsidR="00A02ECF">
        <w:trPr>
          <w:trHeight w:val="104"/>
        </w:trPr>
        <w:tc>
          <w:tcPr>
            <w:tcW w:w="3006" w:type="dxa"/>
          </w:tcPr>
          <w:p w:rsidR="00A02ECF" w:rsidRDefault="006104A2">
            <w:pPr>
              <w:spacing w:after="60"/>
              <w:jc w:val="center"/>
              <w:rPr>
                <w:rFonts w:eastAsia="Calibri"/>
                <w:color w:val="000000"/>
              </w:rPr>
            </w:pPr>
            <w:r>
              <w:rPr>
                <w:rFonts w:eastAsia="Calibri"/>
                <w:bCs/>
                <w:color w:val="000000"/>
              </w:rPr>
              <w:t>145,16</w:t>
            </w:r>
          </w:p>
        </w:tc>
        <w:tc>
          <w:tcPr>
            <w:tcW w:w="2693" w:type="dxa"/>
          </w:tcPr>
          <w:p w:rsidR="00A02ECF" w:rsidRDefault="006104A2">
            <w:pPr>
              <w:spacing w:after="60"/>
              <w:jc w:val="center"/>
              <w:rPr>
                <w:highlight w:val="yellow"/>
              </w:rPr>
            </w:pPr>
            <w:r>
              <w:rPr>
                <w:highlight w:val="white"/>
              </w:rPr>
              <w:t>136,27</w:t>
            </w:r>
          </w:p>
        </w:tc>
        <w:tc>
          <w:tcPr>
            <w:tcW w:w="2976" w:type="dxa"/>
          </w:tcPr>
          <w:p w:rsidR="00A02ECF" w:rsidRDefault="006104A2">
            <w:pPr>
              <w:spacing w:after="60"/>
              <w:jc w:val="center"/>
              <w:rPr>
                <w:highlight w:val="yellow"/>
              </w:rPr>
            </w:pPr>
            <w:r>
              <w:rPr>
                <w:rFonts w:eastAsia="Calibri"/>
                <w:color w:val="000000"/>
                <w:highlight w:val="white"/>
              </w:rPr>
              <w:t>-6,12</w:t>
            </w:r>
            <w:bookmarkEnd w:id="85"/>
          </w:p>
        </w:tc>
      </w:tr>
    </w:tbl>
    <w:p w:rsidR="00A02ECF" w:rsidRDefault="006104A2">
      <w:pPr>
        <w:spacing w:before="60"/>
        <w:jc w:val="both"/>
        <w:rPr>
          <w:b/>
          <w:bCs/>
        </w:rPr>
      </w:pPr>
      <w:r>
        <w:rPr>
          <w:b/>
          <w:bCs/>
        </w:rPr>
        <w:t xml:space="preserve">Примечания. </w:t>
      </w:r>
    </w:p>
    <w:p w:rsidR="00A02ECF" w:rsidRDefault="006104A2">
      <w:pPr>
        <w:pStyle w:val="SubtleEmphasisListParagraph1BulletIRAOACList011head5113TITLE2221"/>
        <w:widowControl w:val="0"/>
        <w:spacing w:before="60" w:after="40" w:line="240" w:lineRule="auto"/>
        <w:ind w:left="66"/>
        <w:jc w:val="both"/>
        <w:rPr>
          <w:rFonts w:ascii="Times New Roman" w:eastAsia="Calibri" w:hAnsi="Times New Roman"/>
          <w:bCs/>
          <w:sz w:val="18"/>
          <w:szCs w:val="18"/>
          <w:highlight w:val="white"/>
          <w:lang w:val="ru-RU"/>
        </w:rPr>
      </w:pPr>
      <w:r>
        <w:rPr>
          <w:rFonts w:ascii="Times New Roman" w:hAnsi="Times New Roman"/>
          <w:sz w:val="18"/>
          <w:szCs w:val="18"/>
          <w:highlight w:val="white"/>
          <w:lang w:val="ru-RU" w:eastAsia="ru-RU"/>
        </w:rPr>
        <w:t xml:space="preserve">1. </w:t>
      </w:r>
      <w:r>
        <w:rPr>
          <w:rFonts w:ascii="Times New Roman" w:eastAsia="Calibri" w:hAnsi="Times New Roman"/>
          <w:bCs/>
          <w:sz w:val="18"/>
          <w:szCs w:val="18"/>
          <w:highlight w:val="white"/>
          <w:lang w:val="ru-RU"/>
        </w:rPr>
        <w:t>Приведены данные по отпуску тепла с коллекторов, то есть по количеству тепла, отпущенному электростанциями потребителю на границе балансовой принадлежности.</w:t>
      </w:r>
    </w:p>
    <w:p w:rsidR="00A02ECF" w:rsidRDefault="006104A2">
      <w:pPr>
        <w:pStyle w:val="SubtleEmphasisListParagraph1BulletIRAOACList011head5113TITLE2221"/>
        <w:widowControl w:val="0"/>
        <w:spacing w:before="60" w:after="40" w:line="240" w:lineRule="auto"/>
        <w:ind w:left="66"/>
        <w:jc w:val="both"/>
        <w:rPr>
          <w:rFonts w:ascii="Times New Roman" w:hAnsi="Times New Roman"/>
          <w:sz w:val="18"/>
          <w:szCs w:val="18"/>
          <w:highlight w:val="white"/>
          <w:lang w:val="ru-RU"/>
        </w:rPr>
      </w:pPr>
      <w:r>
        <w:rPr>
          <w:rFonts w:ascii="Times New Roman" w:hAnsi="Times New Roman"/>
          <w:sz w:val="18"/>
          <w:szCs w:val="18"/>
          <w:highlight w:val="white"/>
          <w:lang w:val="ru-RU" w:eastAsia="ru-RU"/>
        </w:rPr>
        <w:t>2. Производство тепловой энергии приводится по Группе Газпром с учетом зарубежных активов.</w:t>
      </w:r>
    </w:p>
    <w:p w:rsidR="00A02ECF" w:rsidRDefault="006104A2">
      <w:pPr>
        <w:tabs>
          <w:tab w:val="left" w:pos="2410"/>
        </w:tabs>
        <w:spacing w:before="60"/>
        <w:jc w:val="both"/>
        <w:rPr>
          <w:b/>
          <w:i/>
          <w:iCs/>
          <w:color w:val="000000"/>
          <w:szCs w:val="22"/>
          <w:highlight w:val="white"/>
        </w:rPr>
      </w:pPr>
      <w:r>
        <w:rPr>
          <w:b/>
          <w:bCs/>
          <w:i/>
          <w:iCs/>
          <w:color w:val="000000"/>
          <w:szCs w:val="22"/>
          <w:highlight w:val="white"/>
        </w:rPr>
        <w:t>Снижение отпуска тепловой энергии обусловлено высокими температурами наружного воздуха в</w:t>
      </w:r>
      <w:r>
        <w:rPr>
          <w:b/>
          <w:bCs/>
          <w:i/>
          <w:iCs/>
          <w:color w:val="000000"/>
          <w:szCs w:val="22"/>
          <w:highlight w:val="white"/>
          <w:lang w:val="en-US"/>
        </w:rPr>
        <w:t> </w:t>
      </w:r>
      <w:r>
        <w:rPr>
          <w:b/>
          <w:bCs/>
          <w:i/>
          <w:iCs/>
          <w:color w:val="000000"/>
          <w:szCs w:val="22"/>
          <w:highlight w:val="white"/>
        </w:rPr>
        <w:t xml:space="preserve">отопительном периоде, </w:t>
      </w:r>
      <w:r>
        <w:rPr>
          <w:b/>
          <w:i/>
          <w:iCs/>
          <w:color w:val="000000"/>
          <w:szCs w:val="22"/>
          <w:highlight w:val="white"/>
        </w:rPr>
        <w:t>а также продажей активов.</w:t>
      </w:r>
    </w:p>
    <w:p w:rsidR="00A02ECF" w:rsidRDefault="006104A2">
      <w:pPr>
        <w:rPr>
          <w:b/>
          <w:bCs/>
          <w:u w:val="single"/>
        </w:rPr>
      </w:pPr>
      <w:bookmarkStart w:id="86" w:name="_Hlk184901825"/>
      <w:r>
        <w:rPr>
          <w:b/>
          <w:bCs/>
          <w:u w:val="single"/>
        </w:rPr>
        <w:t xml:space="preserve">Медиабизнес </w:t>
      </w:r>
    </w:p>
    <w:p w:rsidR="00A02ECF" w:rsidRDefault="006104A2">
      <w:pPr>
        <w:spacing w:before="120"/>
        <w:jc w:val="both"/>
        <w:rPr>
          <w:b/>
          <w:bCs/>
          <w:i/>
        </w:rPr>
      </w:pPr>
      <w:bookmarkStart w:id="87" w:name="_Hlk198568074"/>
      <w:bookmarkEnd w:id="53"/>
      <w:bookmarkEnd w:id="84"/>
      <w:bookmarkEnd w:id="86"/>
      <w:r>
        <w:rPr>
          <w:b/>
          <w:bCs/>
          <w:i/>
          <w:iCs/>
        </w:rPr>
        <w:t xml:space="preserve">Около 70% выручки АО «Газпром-Медиа Холдинг» и его дочерних организаций является рекламной и </w:t>
      </w:r>
      <w:r>
        <w:rPr>
          <w:b/>
          <w:i/>
          <w:color w:val="000000"/>
        </w:rPr>
        <w:t>зависит от позиций компании на российском медиарынке по аудиторным показателям.</w:t>
      </w:r>
    </w:p>
    <w:p w:rsidR="00A02ECF" w:rsidRDefault="00A02ECF">
      <w:pPr>
        <w:spacing w:before="0" w:after="0"/>
        <w:rPr>
          <w:b/>
          <w:bCs/>
        </w:rPr>
      </w:pPr>
    </w:p>
    <w:p w:rsidR="00A02ECF" w:rsidRDefault="006104A2">
      <w:pPr>
        <w:rPr>
          <w:b/>
          <w:bCs/>
        </w:rPr>
      </w:pPr>
      <w:r>
        <w:rPr>
          <w:b/>
          <w:bCs/>
        </w:rPr>
        <w:lastRenderedPageBreak/>
        <w:t>Телевидение</w:t>
      </w:r>
    </w:p>
    <w:p w:rsidR="00A02ECF" w:rsidRDefault="006104A2">
      <w:pPr>
        <w:spacing w:before="60" w:after="0"/>
        <w:jc w:val="both"/>
        <w:rPr>
          <w:b/>
          <w:bCs/>
        </w:rPr>
      </w:pPr>
      <w:r>
        <w:rPr>
          <w:b/>
          <w:bCs/>
        </w:rPr>
        <w:t>Доля «Газпром-Медиа Холдинга» в российской аудитории телевидения</w:t>
      </w:r>
    </w:p>
    <w:p w:rsidR="00A02ECF" w:rsidRDefault="006104A2">
      <w:pPr>
        <w:spacing w:before="60" w:after="0"/>
        <w:jc w:val="both"/>
      </w:pPr>
      <w:r>
        <w:t>(зрители в России в возрасте 14–44 лет, вся Россия)</w:t>
      </w:r>
    </w:p>
    <w:tbl>
      <w:tblPr>
        <w:tblW w:w="9071"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28"/>
        <w:gridCol w:w="1842"/>
        <w:gridCol w:w="1701"/>
      </w:tblGrid>
      <w:tr w:rsidR="00A02ECF">
        <w:trPr>
          <w:tblHeader/>
        </w:trPr>
        <w:tc>
          <w:tcPr>
            <w:tcW w:w="5528" w:type="dxa"/>
            <w:tcBorders>
              <w:bottom w:val="single" w:sz="4" w:space="0" w:color="000000"/>
            </w:tcBorders>
          </w:tcPr>
          <w:p w:rsidR="00A02ECF" w:rsidRDefault="006104A2">
            <w:pPr>
              <w:keepNext/>
              <w:keepLines/>
              <w:rPr>
                <w:b/>
              </w:rPr>
            </w:pPr>
            <w:r>
              <w:rPr>
                <w:b/>
                <w:bCs/>
                <w:color w:val="000000"/>
              </w:rPr>
              <w:t>Наименование показателя</w:t>
            </w:r>
          </w:p>
        </w:tc>
        <w:tc>
          <w:tcPr>
            <w:tcW w:w="1842" w:type="dxa"/>
            <w:tcBorders>
              <w:bottom w:val="single" w:sz="4" w:space="0" w:color="000000"/>
            </w:tcBorders>
            <w:vAlign w:val="center"/>
          </w:tcPr>
          <w:p w:rsidR="00A02ECF" w:rsidRDefault="006104A2">
            <w:pPr>
              <w:keepNext/>
              <w:keepLines/>
              <w:spacing w:before="60" w:after="60"/>
              <w:jc w:val="right"/>
              <w:rPr>
                <w:b/>
                <w:color w:val="000000"/>
              </w:rPr>
            </w:pPr>
            <w:r>
              <w:rPr>
                <w:b/>
              </w:rPr>
              <w:t>2024 г.</w:t>
            </w:r>
          </w:p>
        </w:tc>
        <w:tc>
          <w:tcPr>
            <w:tcW w:w="1701" w:type="dxa"/>
            <w:tcBorders>
              <w:bottom w:val="single" w:sz="4" w:space="0" w:color="000000"/>
            </w:tcBorders>
            <w:vAlign w:val="center"/>
          </w:tcPr>
          <w:p w:rsidR="00A02ECF" w:rsidRDefault="006104A2">
            <w:pPr>
              <w:keepNext/>
              <w:keepLines/>
              <w:spacing w:before="60" w:after="60"/>
              <w:jc w:val="right"/>
              <w:rPr>
                <w:b/>
                <w:color w:val="000000"/>
              </w:rPr>
            </w:pPr>
            <w:r>
              <w:rPr>
                <w:b/>
              </w:rPr>
              <w:t>2025 г.</w:t>
            </w:r>
          </w:p>
        </w:tc>
      </w:tr>
      <w:tr w:rsidR="00A02ECF">
        <w:trPr>
          <w:trHeight w:val="227"/>
        </w:trPr>
        <w:tc>
          <w:tcPr>
            <w:tcW w:w="5528" w:type="dxa"/>
            <w:tcBorders>
              <w:top w:val="single" w:sz="4" w:space="0" w:color="000000"/>
              <w:bottom w:val="single" w:sz="4" w:space="0" w:color="000000"/>
            </w:tcBorders>
            <w:vAlign w:val="center"/>
          </w:tcPr>
          <w:p w:rsidR="00A02ECF" w:rsidRDefault="006104A2">
            <w:pPr>
              <w:ind w:right="-113"/>
            </w:pPr>
            <w:r>
              <w:t>Доля в российской аудитории телевидения (%)</w:t>
            </w:r>
          </w:p>
        </w:tc>
        <w:tc>
          <w:tcPr>
            <w:tcW w:w="1842" w:type="dxa"/>
            <w:tcBorders>
              <w:top w:val="single" w:sz="4" w:space="0" w:color="000000"/>
              <w:bottom w:val="single" w:sz="4" w:space="0" w:color="000000"/>
            </w:tcBorders>
          </w:tcPr>
          <w:p w:rsidR="00A02ECF" w:rsidRDefault="006104A2">
            <w:pPr>
              <w:jc w:val="right"/>
              <w:rPr>
                <w:sz w:val="22"/>
                <w:szCs w:val="22"/>
              </w:rPr>
            </w:pPr>
            <w:r>
              <w:t>25,4</w:t>
            </w:r>
          </w:p>
        </w:tc>
        <w:tc>
          <w:tcPr>
            <w:tcW w:w="1701" w:type="dxa"/>
            <w:tcBorders>
              <w:top w:val="single" w:sz="4" w:space="0" w:color="000000"/>
              <w:bottom w:val="single" w:sz="4" w:space="0" w:color="000000"/>
            </w:tcBorders>
          </w:tcPr>
          <w:p w:rsidR="00A02ECF" w:rsidRDefault="006104A2">
            <w:pPr>
              <w:jc w:val="right"/>
              <w:rPr>
                <w:sz w:val="22"/>
                <w:szCs w:val="22"/>
              </w:rPr>
            </w:pPr>
            <w:r>
              <w:rPr>
                <w:color w:val="000000"/>
              </w:rPr>
              <w:t>26,7</w:t>
            </w:r>
          </w:p>
        </w:tc>
      </w:tr>
    </w:tbl>
    <w:p w:rsidR="00A02ECF" w:rsidRDefault="006104A2">
      <w:pPr>
        <w:spacing w:before="60"/>
        <w:jc w:val="both"/>
        <w:rPr>
          <w:b/>
          <w:bCs/>
        </w:rPr>
      </w:pPr>
      <w:r>
        <w:rPr>
          <w:b/>
          <w:bCs/>
        </w:rPr>
        <w:t xml:space="preserve">Примечание. </w:t>
      </w:r>
    </w:p>
    <w:p w:rsidR="00A02ECF" w:rsidRDefault="006104A2">
      <w:pPr>
        <w:spacing w:after="0"/>
        <w:jc w:val="both"/>
        <w:rPr>
          <w:sz w:val="18"/>
          <w:szCs w:val="18"/>
        </w:rPr>
      </w:pPr>
      <w:bookmarkStart w:id="88" w:name="_Hlk198568038"/>
      <w:r>
        <w:rPr>
          <w:sz w:val="18"/>
          <w:szCs w:val="18"/>
        </w:rPr>
        <w:t>Оценки аудитории приведены на основе исследований АО «Медиаскоп» — уполномоченной организации по исследованию объема аудитории в России.</w:t>
      </w:r>
    </w:p>
    <w:p w:rsidR="00A02ECF" w:rsidRDefault="006104A2">
      <w:pPr>
        <w:spacing w:before="120"/>
        <w:jc w:val="both"/>
        <w:rPr>
          <w:b/>
          <w:bCs/>
          <w:i/>
          <w:iCs/>
        </w:rPr>
      </w:pPr>
      <w:r>
        <w:rPr>
          <w:b/>
          <w:bCs/>
          <w:i/>
          <w:iCs/>
        </w:rPr>
        <w:t>Удержание стабильной доли аудитории телевидения, как одного из системообразующих инструментов охватного контакта с аудиторией, является одним из приоритетных направлений деятельности. «Газпром-Медиа Холдинг» фокусируется на создании устойчивого контакта с активной аудиторией в возрастном сегменте 14-44 лет. Формирование устойчивой коммуникации достигается за счет постоянных инвестиций в производство аудиовизуальных произведений, отвечающих динамично меняющимся предпочтениям и ожиданиям аудитории телевидения.</w:t>
      </w:r>
    </w:p>
    <w:p w:rsidR="00A02ECF" w:rsidRDefault="00A02ECF">
      <w:pPr>
        <w:spacing w:after="0"/>
        <w:jc w:val="both"/>
        <w:rPr>
          <w:b/>
        </w:rPr>
      </w:pPr>
    </w:p>
    <w:p w:rsidR="00A02ECF" w:rsidRDefault="006104A2">
      <w:pPr>
        <w:spacing w:after="0"/>
        <w:jc w:val="both"/>
        <w:rPr>
          <w:b/>
        </w:rPr>
      </w:pPr>
      <w:r>
        <w:rPr>
          <w:b/>
        </w:rPr>
        <w:t>Радио</w:t>
      </w:r>
    </w:p>
    <w:p w:rsidR="00A02ECF" w:rsidRDefault="006104A2">
      <w:pPr>
        <w:spacing w:before="0" w:after="0"/>
        <w:jc w:val="both"/>
        <w:rPr>
          <w:b/>
        </w:rPr>
      </w:pPr>
      <w:r>
        <w:rPr>
          <w:b/>
        </w:rPr>
        <w:t xml:space="preserve">Доля «Газпром-Медиа Холдинга» в российской аудитории радио </w:t>
      </w:r>
    </w:p>
    <w:p w:rsidR="00A02ECF" w:rsidRDefault="006104A2">
      <w:pPr>
        <w:spacing w:before="0" w:after="0"/>
        <w:jc w:val="both"/>
        <w:rPr>
          <w:b/>
          <w:bCs/>
        </w:rPr>
      </w:pPr>
      <w:r>
        <w:rPr>
          <w:bCs/>
        </w:rPr>
        <w:t>(слушатели в России в возрасте 20–55 лет</w:t>
      </w:r>
      <w:r>
        <w:rPr>
          <w:b/>
        </w:rPr>
        <w:t xml:space="preserve"> </w:t>
      </w:r>
      <w:r>
        <w:rPr>
          <w:bCs/>
        </w:rPr>
        <w:t>в городах с населением более 100 тыс. чел.)</w:t>
      </w:r>
      <w:bookmarkEnd w:id="88"/>
    </w:p>
    <w:tbl>
      <w:tblPr>
        <w:tblW w:w="9071"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28"/>
        <w:gridCol w:w="1842"/>
        <w:gridCol w:w="1701"/>
      </w:tblGrid>
      <w:tr w:rsidR="00A02ECF">
        <w:trPr>
          <w:tblHeader/>
        </w:trPr>
        <w:tc>
          <w:tcPr>
            <w:tcW w:w="5528" w:type="dxa"/>
            <w:tcBorders>
              <w:bottom w:val="single" w:sz="4" w:space="0" w:color="000000"/>
            </w:tcBorders>
          </w:tcPr>
          <w:p w:rsidR="00A02ECF" w:rsidRDefault="006104A2">
            <w:pPr>
              <w:keepNext/>
              <w:keepLines/>
              <w:rPr>
                <w:b/>
              </w:rPr>
            </w:pPr>
            <w:r>
              <w:rPr>
                <w:b/>
                <w:bCs/>
                <w:color w:val="000000"/>
              </w:rPr>
              <w:t>Наименование показателя</w:t>
            </w:r>
          </w:p>
        </w:tc>
        <w:tc>
          <w:tcPr>
            <w:tcW w:w="1842" w:type="dxa"/>
            <w:tcBorders>
              <w:bottom w:val="single" w:sz="4" w:space="0" w:color="000000"/>
            </w:tcBorders>
            <w:vAlign w:val="center"/>
          </w:tcPr>
          <w:p w:rsidR="00A02ECF" w:rsidRDefault="006104A2">
            <w:pPr>
              <w:keepNext/>
              <w:keepLines/>
              <w:spacing w:before="60" w:after="60"/>
              <w:jc w:val="right"/>
              <w:rPr>
                <w:b/>
                <w:color w:val="000000"/>
              </w:rPr>
            </w:pPr>
            <w:r>
              <w:rPr>
                <w:b/>
              </w:rPr>
              <w:t>2024 г.</w:t>
            </w:r>
          </w:p>
        </w:tc>
        <w:tc>
          <w:tcPr>
            <w:tcW w:w="1701" w:type="dxa"/>
            <w:tcBorders>
              <w:bottom w:val="single" w:sz="4" w:space="0" w:color="000000"/>
            </w:tcBorders>
            <w:vAlign w:val="center"/>
          </w:tcPr>
          <w:p w:rsidR="00A02ECF" w:rsidRDefault="006104A2">
            <w:pPr>
              <w:keepNext/>
              <w:keepLines/>
              <w:spacing w:before="60" w:after="60"/>
              <w:jc w:val="right"/>
              <w:rPr>
                <w:b/>
                <w:color w:val="000000"/>
              </w:rPr>
            </w:pPr>
            <w:r>
              <w:rPr>
                <w:b/>
              </w:rPr>
              <w:t>2025 г.</w:t>
            </w:r>
          </w:p>
        </w:tc>
      </w:tr>
      <w:tr w:rsidR="00A02ECF">
        <w:trPr>
          <w:trHeight w:val="227"/>
        </w:trPr>
        <w:tc>
          <w:tcPr>
            <w:tcW w:w="5528" w:type="dxa"/>
            <w:tcBorders>
              <w:top w:val="single" w:sz="4" w:space="0" w:color="000000"/>
              <w:bottom w:val="single" w:sz="4" w:space="0" w:color="000000"/>
            </w:tcBorders>
            <w:vAlign w:val="center"/>
          </w:tcPr>
          <w:p w:rsidR="00A02ECF" w:rsidRDefault="006104A2">
            <w:pPr>
              <w:ind w:right="-113"/>
            </w:pPr>
            <w:r>
              <w:t>Доля в российской аудитории радио (%)</w:t>
            </w:r>
          </w:p>
        </w:tc>
        <w:tc>
          <w:tcPr>
            <w:tcW w:w="1842" w:type="dxa"/>
            <w:tcBorders>
              <w:top w:val="single" w:sz="4" w:space="0" w:color="000000"/>
              <w:bottom w:val="single" w:sz="4" w:space="0" w:color="000000"/>
            </w:tcBorders>
          </w:tcPr>
          <w:p w:rsidR="00A02ECF" w:rsidRDefault="006104A2">
            <w:pPr>
              <w:jc w:val="right"/>
            </w:pPr>
            <w:r>
              <w:t>19,2</w:t>
            </w:r>
          </w:p>
        </w:tc>
        <w:tc>
          <w:tcPr>
            <w:tcW w:w="1701" w:type="dxa"/>
            <w:tcBorders>
              <w:top w:val="single" w:sz="4" w:space="0" w:color="000000"/>
              <w:bottom w:val="single" w:sz="4" w:space="0" w:color="000000"/>
            </w:tcBorders>
          </w:tcPr>
          <w:p w:rsidR="00A02ECF" w:rsidRDefault="006104A2">
            <w:pPr>
              <w:jc w:val="right"/>
            </w:pPr>
            <w:r>
              <w:rPr>
                <w:color w:val="000000"/>
              </w:rPr>
              <w:t>19,1</w:t>
            </w:r>
          </w:p>
        </w:tc>
      </w:tr>
    </w:tbl>
    <w:p w:rsidR="00A02ECF" w:rsidRDefault="006104A2">
      <w:pPr>
        <w:spacing w:before="60"/>
        <w:jc w:val="both"/>
        <w:rPr>
          <w:b/>
          <w:bCs/>
        </w:rPr>
      </w:pPr>
      <w:r>
        <w:rPr>
          <w:b/>
          <w:bCs/>
        </w:rPr>
        <w:t xml:space="preserve">Примечание. </w:t>
      </w:r>
    </w:p>
    <w:p w:rsidR="00A02ECF" w:rsidRDefault="006104A2">
      <w:pPr>
        <w:spacing w:after="0"/>
        <w:jc w:val="both"/>
        <w:rPr>
          <w:sz w:val="18"/>
          <w:szCs w:val="18"/>
        </w:rPr>
      </w:pPr>
      <w:r>
        <w:rPr>
          <w:sz w:val="18"/>
          <w:szCs w:val="18"/>
        </w:rPr>
        <w:t>Оценки аудитории приведены на основе исследований АО «Медиаскоп» — уполномоченной организации по исследованию объема аудитории в России.</w:t>
      </w:r>
    </w:p>
    <w:p w:rsidR="00A02ECF" w:rsidRDefault="006104A2">
      <w:pPr>
        <w:spacing w:before="120"/>
        <w:jc w:val="both"/>
        <w:rPr>
          <w:b/>
          <w:bCs/>
          <w:i/>
          <w:iCs/>
        </w:rPr>
      </w:pPr>
      <w:r>
        <w:rPr>
          <w:b/>
          <w:bCs/>
          <w:i/>
          <w:iCs/>
        </w:rPr>
        <w:t>«Газпром-Медиа Холдинг» продолжает развитие региональной сети присутствия. Региональное развитие предполагает как открытие собственных вещательных станций, так и работу с партнерами и лицензиатами, распространяющими сигнал радиостанций Газпром-Медиа Холдинга. Распространение эфирного потока в различных средах, продвижение и использование нестандартных подходов позволяют расширить знание и охват радиобрендов.</w:t>
      </w:r>
    </w:p>
    <w:p w:rsidR="00A02ECF" w:rsidRDefault="00A02ECF">
      <w:pPr>
        <w:jc w:val="both"/>
        <w:rPr>
          <w:bCs/>
          <w:color w:val="0F4761"/>
        </w:rPr>
      </w:pPr>
    </w:p>
    <w:p w:rsidR="00A02ECF" w:rsidRDefault="006104A2">
      <w:pPr>
        <w:spacing w:after="0"/>
        <w:jc w:val="both"/>
        <w:rPr>
          <w:b/>
          <w:bCs/>
        </w:rPr>
      </w:pPr>
      <w:r>
        <w:rPr>
          <w:b/>
        </w:rPr>
        <w:t>Кинопрокат</w:t>
      </w:r>
    </w:p>
    <w:p w:rsidR="00A02ECF" w:rsidRDefault="006104A2">
      <w:pPr>
        <w:spacing w:before="0"/>
        <w:jc w:val="both"/>
        <w:rPr>
          <w:b/>
          <w:bCs/>
          <w:i/>
          <w:iCs/>
        </w:rPr>
      </w:pPr>
      <w:r>
        <w:rPr>
          <w:b/>
          <w:bCs/>
          <w:i/>
          <w:iCs/>
        </w:rPr>
        <w:t>Одним из направлений деятельности «Газпром-Медиа Холдинга» является дистрибуция кинотеатральных прав. По итогам 2025 года «Централ Партнершип» продолжает оставаться безусловным лидером на рынке Российской Федерации. «Газпром-Медиа Холдинг» динамически управляет процессами отбора и инвестирования в производство кинопродукции для обеспечения баланса получаемых доходов и производимых инвестиций.</w:t>
      </w:r>
    </w:p>
    <w:p w:rsidR="00A02ECF" w:rsidRDefault="00A02ECF">
      <w:pPr>
        <w:spacing w:before="0" w:after="0"/>
        <w:jc w:val="both"/>
        <w:rPr>
          <w:bCs/>
          <w:color w:val="0F4761"/>
        </w:rPr>
      </w:pPr>
    </w:p>
    <w:p w:rsidR="00A02ECF" w:rsidRDefault="006104A2">
      <w:pPr>
        <w:spacing w:after="0"/>
        <w:jc w:val="both"/>
        <w:rPr>
          <w:b/>
        </w:rPr>
      </w:pPr>
      <w:r>
        <w:rPr>
          <w:b/>
        </w:rPr>
        <w:t>Цифровые платформы</w:t>
      </w:r>
    </w:p>
    <w:tbl>
      <w:tblPr>
        <w:tblW w:w="9092"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91"/>
        <w:gridCol w:w="1327"/>
        <w:gridCol w:w="1328"/>
        <w:gridCol w:w="1646"/>
      </w:tblGrid>
      <w:tr w:rsidR="00A02ECF">
        <w:trPr>
          <w:tblHeader/>
        </w:trPr>
        <w:tc>
          <w:tcPr>
            <w:tcW w:w="4791" w:type="dxa"/>
            <w:tcBorders>
              <w:bottom w:val="single" w:sz="4" w:space="0" w:color="000000"/>
            </w:tcBorders>
          </w:tcPr>
          <w:p w:rsidR="00A02ECF" w:rsidRDefault="006104A2">
            <w:pPr>
              <w:keepNext/>
              <w:keepLines/>
              <w:rPr>
                <w:b/>
              </w:rPr>
            </w:pPr>
            <w:r>
              <w:rPr>
                <w:b/>
                <w:bCs/>
                <w:color w:val="000000"/>
              </w:rPr>
              <w:t>Наименование показателя</w:t>
            </w:r>
          </w:p>
        </w:tc>
        <w:tc>
          <w:tcPr>
            <w:tcW w:w="1327" w:type="dxa"/>
            <w:tcBorders>
              <w:bottom w:val="single" w:sz="4" w:space="0" w:color="000000"/>
            </w:tcBorders>
            <w:vAlign w:val="center"/>
          </w:tcPr>
          <w:p w:rsidR="00A02ECF" w:rsidRDefault="006104A2">
            <w:pPr>
              <w:keepNext/>
              <w:keepLines/>
              <w:spacing w:before="60" w:after="60"/>
              <w:jc w:val="right"/>
              <w:rPr>
                <w:b/>
                <w:color w:val="000000"/>
              </w:rPr>
            </w:pPr>
            <w:r>
              <w:rPr>
                <w:b/>
              </w:rPr>
              <w:t>2024 г.</w:t>
            </w:r>
          </w:p>
        </w:tc>
        <w:tc>
          <w:tcPr>
            <w:tcW w:w="1328" w:type="dxa"/>
            <w:tcBorders>
              <w:bottom w:val="single" w:sz="4" w:space="0" w:color="000000"/>
            </w:tcBorders>
            <w:vAlign w:val="center"/>
          </w:tcPr>
          <w:p w:rsidR="00A02ECF" w:rsidRDefault="006104A2">
            <w:pPr>
              <w:keepNext/>
              <w:keepLines/>
              <w:spacing w:before="60" w:after="60"/>
              <w:jc w:val="right"/>
              <w:rPr>
                <w:b/>
                <w:color w:val="000000"/>
              </w:rPr>
            </w:pPr>
            <w:r>
              <w:rPr>
                <w:b/>
              </w:rPr>
              <w:t>2025 г.</w:t>
            </w:r>
          </w:p>
        </w:tc>
        <w:tc>
          <w:tcPr>
            <w:tcW w:w="1646" w:type="dxa"/>
            <w:tcBorders>
              <w:bottom w:val="single" w:sz="4" w:space="0" w:color="000000"/>
            </w:tcBorders>
          </w:tcPr>
          <w:p w:rsidR="00A02ECF" w:rsidRDefault="006104A2">
            <w:pPr>
              <w:keepNext/>
              <w:keepLines/>
              <w:spacing w:before="60" w:after="60"/>
              <w:jc w:val="right"/>
              <w:rPr>
                <w:b/>
              </w:rPr>
            </w:pPr>
            <w:r>
              <w:rPr>
                <w:rFonts w:ascii="Times New Roman CYR" w:hAnsi="Times New Roman CYR" w:cs="Times New Roman CYR"/>
                <w:b/>
                <w:bCs/>
                <w:color w:val="000000"/>
              </w:rPr>
              <w:t>Изменение (%)</w:t>
            </w:r>
          </w:p>
        </w:tc>
      </w:tr>
      <w:tr w:rsidR="00A02ECF">
        <w:trPr>
          <w:trHeight w:val="227"/>
        </w:trPr>
        <w:tc>
          <w:tcPr>
            <w:tcW w:w="4791" w:type="dxa"/>
            <w:tcBorders>
              <w:top w:val="single" w:sz="4" w:space="0" w:color="000000"/>
              <w:bottom w:val="single" w:sz="4" w:space="0" w:color="000000"/>
            </w:tcBorders>
            <w:vAlign w:val="center"/>
          </w:tcPr>
          <w:p w:rsidR="00A02ECF" w:rsidRDefault="006104A2">
            <w:pPr>
              <w:ind w:right="-113"/>
            </w:pPr>
            <w:r>
              <w:t>Среднемесячная аудитория «Газпром-Медиа Холдинга» в декабре</w:t>
            </w:r>
          </w:p>
          <w:p w:rsidR="00A02ECF" w:rsidRDefault="006104A2">
            <w:pPr>
              <w:ind w:right="-113"/>
            </w:pPr>
            <w:r>
              <w:t>(млн пользователей)</w:t>
            </w:r>
          </w:p>
        </w:tc>
        <w:tc>
          <w:tcPr>
            <w:tcW w:w="1327" w:type="dxa"/>
            <w:tcBorders>
              <w:top w:val="single" w:sz="4" w:space="0" w:color="000000"/>
              <w:bottom w:val="single" w:sz="4" w:space="0" w:color="000000"/>
            </w:tcBorders>
            <w:vAlign w:val="center"/>
          </w:tcPr>
          <w:p w:rsidR="00A02ECF" w:rsidRDefault="006104A2">
            <w:pPr>
              <w:jc w:val="right"/>
              <w:rPr>
                <w:sz w:val="22"/>
                <w:szCs w:val="22"/>
              </w:rPr>
            </w:pPr>
            <w:r>
              <w:t>80,7</w:t>
            </w:r>
          </w:p>
        </w:tc>
        <w:tc>
          <w:tcPr>
            <w:tcW w:w="1328" w:type="dxa"/>
            <w:tcBorders>
              <w:top w:val="single" w:sz="4" w:space="0" w:color="000000"/>
              <w:bottom w:val="single" w:sz="4" w:space="0" w:color="000000"/>
            </w:tcBorders>
            <w:vAlign w:val="center"/>
          </w:tcPr>
          <w:p w:rsidR="00A02ECF" w:rsidRDefault="006104A2">
            <w:pPr>
              <w:jc w:val="right"/>
              <w:rPr>
                <w:sz w:val="22"/>
                <w:szCs w:val="22"/>
              </w:rPr>
            </w:pPr>
            <w:r>
              <w:rPr>
                <w:color w:val="000000"/>
              </w:rPr>
              <w:t>86,2</w:t>
            </w:r>
          </w:p>
        </w:tc>
        <w:tc>
          <w:tcPr>
            <w:tcW w:w="1646" w:type="dxa"/>
            <w:tcBorders>
              <w:top w:val="single" w:sz="4" w:space="0" w:color="000000"/>
              <w:bottom w:val="single" w:sz="4" w:space="0" w:color="000000"/>
            </w:tcBorders>
            <w:vAlign w:val="center"/>
          </w:tcPr>
          <w:p w:rsidR="00A02ECF" w:rsidRDefault="006104A2">
            <w:pPr>
              <w:jc w:val="right"/>
              <w:rPr>
                <w:lang w:val="en-US"/>
              </w:rPr>
            </w:pPr>
            <w:r>
              <w:rPr>
                <w:color w:val="000000"/>
              </w:rPr>
              <w:t>6,82</w:t>
            </w:r>
          </w:p>
        </w:tc>
      </w:tr>
    </w:tbl>
    <w:p w:rsidR="00A02ECF" w:rsidRDefault="006104A2">
      <w:pPr>
        <w:spacing w:before="60"/>
        <w:jc w:val="both"/>
        <w:rPr>
          <w:b/>
          <w:bCs/>
        </w:rPr>
      </w:pPr>
      <w:r>
        <w:rPr>
          <w:b/>
          <w:bCs/>
        </w:rPr>
        <w:t xml:space="preserve">Примечание. </w:t>
      </w:r>
    </w:p>
    <w:p w:rsidR="00A02ECF" w:rsidRDefault="006104A2">
      <w:pPr>
        <w:spacing w:after="0"/>
        <w:jc w:val="both"/>
        <w:rPr>
          <w:sz w:val="18"/>
          <w:szCs w:val="18"/>
        </w:rPr>
      </w:pPr>
      <w:r>
        <w:rPr>
          <w:bCs/>
          <w:sz w:val="18"/>
          <w:szCs w:val="18"/>
        </w:rPr>
        <w:t>Оценки аудитории приведены на основе исследований АО «Медиаскоп» — уполномоченной организации по исследованию объема аудитории в России.</w:t>
      </w:r>
    </w:p>
    <w:p w:rsidR="00A02ECF" w:rsidRDefault="006104A2">
      <w:pPr>
        <w:spacing w:before="120"/>
        <w:jc w:val="both"/>
        <w:rPr>
          <w:b/>
          <w:bCs/>
          <w:i/>
          <w:iCs/>
        </w:rPr>
      </w:pPr>
      <w:r>
        <w:rPr>
          <w:b/>
          <w:bCs/>
          <w:i/>
          <w:iCs/>
        </w:rPr>
        <w:t>Для поддержания контакта с аудиторией во всех информационных средах «Газпром-Медиа Холдинг» осуществляет развитие цифровых платформ. Сервис онлайн-кинотеатра PREMIER продолжил в 2025</w:t>
      </w:r>
      <w:r>
        <w:rPr>
          <w:b/>
          <w:bCs/>
          <w:i/>
          <w:iCs/>
          <w:lang w:val="en-US"/>
        </w:rPr>
        <w:t> </w:t>
      </w:r>
      <w:r>
        <w:rPr>
          <w:b/>
          <w:bCs/>
          <w:i/>
          <w:iCs/>
        </w:rPr>
        <w:t>году наращивать платящую аудиторию, что является результатом наполнения онлайн-платформы качественным и разнообразным контентом.</w:t>
      </w:r>
    </w:p>
    <w:p w:rsidR="00A02ECF" w:rsidRDefault="00A02ECF">
      <w:pPr>
        <w:spacing w:before="120"/>
        <w:jc w:val="both"/>
        <w:rPr>
          <w:b/>
          <w:bCs/>
          <w:i/>
          <w:iCs/>
        </w:rPr>
      </w:pPr>
    </w:p>
    <w:p w:rsidR="00A02ECF" w:rsidRDefault="006104A2">
      <w:pPr>
        <w:pStyle w:val="2"/>
        <w:rPr>
          <w:color w:val="000000"/>
        </w:rPr>
      </w:pPr>
      <w:bookmarkStart w:id="89" w:name="_Toc230104294"/>
      <w:bookmarkEnd w:id="87"/>
      <w:r>
        <w:rPr>
          <w:color w:val="000000"/>
        </w:rPr>
        <w:t>1.4. Основные финансовые показатели эмитента</w:t>
      </w:r>
      <w:bookmarkEnd w:id="89"/>
    </w:p>
    <w:p w:rsidR="00A02ECF" w:rsidRDefault="006104A2">
      <w:pPr>
        <w:pStyle w:val="2"/>
        <w:jc w:val="both"/>
        <w:rPr>
          <w:color w:val="000000"/>
        </w:rPr>
      </w:pPr>
      <w:bookmarkStart w:id="90" w:name="_Toc230104295"/>
      <w:r>
        <w:rPr>
          <w:color w:val="000000"/>
        </w:rPr>
        <w:t>1.4.1. Финансовые показатели, рассчитываемые на основе консолидированной финансовой отчетности (финансовой отчетности)</w:t>
      </w:r>
      <w:bookmarkEnd w:id="90"/>
    </w:p>
    <w:p w:rsidR="00A02ECF" w:rsidRDefault="00A02ECF">
      <w:pPr>
        <w:pStyle w:val="ThinDelim"/>
        <w:rPr>
          <w:color w:val="000000"/>
        </w:rPr>
      </w:pPr>
    </w:p>
    <w:p w:rsidR="00A02ECF" w:rsidRDefault="006104A2">
      <w:pPr>
        <w:spacing w:before="60" w:after="60"/>
      </w:pPr>
      <w:r>
        <w:lastRenderedPageBreak/>
        <w:t xml:space="preserve">Финансовые показатели, характеризующие финансовые результаты деятельности Группы Газпром. </w:t>
      </w:r>
    </w:p>
    <w:tbl>
      <w:tblPr>
        <w:tblW w:w="9921" w:type="dxa"/>
        <w:tblInd w:w="-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2520"/>
        <w:gridCol w:w="1275"/>
        <w:gridCol w:w="1276"/>
        <w:gridCol w:w="4394"/>
      </w:tblGrid>
      <w:tr w:rsidR="00A02ECF">
        <w:trPr>
          <w:tblHeader/>
        </w:trPr>
        <w:tc>
          <w:tcPr>
            <w:tcW w:w="456" w:type="dxa"/>
            <w:shd w:val="clear" w:color="auto" w:fill="auto"/>
          </w:tcPr>
          <w:p w:rsidR="00A02ECF" w:rsidRDefault="00A02ECF">
            <w:bookmarkStart w:id="91" w:name="_Hlk177397674"/>
          </w:p>
        </w:tc>
        <w:tc>
          <w:tcPr>
            <w:tcW w:w="2520" w:type="dxa"/>
            <w:shd w:val="clear" w:color="auto" w:fill="auto"/>
          </w:tcPr>
          <w:p w:rsidR="00A02ECF" w:rsidRDefault="006104A2">
            <w:pPr>
              <w:rPr>
                <w:b/>
              </w:rPr>
            </w:pPr>
            <w:r>
              <w:rPr>
                <w:b/>
              </w:rPr>
              <w:t>Наименование показателя</w:t>
            </w:r>
          </w:p>
        </w:tc>
        <w:tc>
          <w:tcPr>
            <w:tcW w:w="1275" w:type="dxa"/>
            <w:shd w:val="clear" w:color="auto" w:fill="auto"/>
            <w:vAlign w:val="center"/>
          </w:tcPr>
          <w:p w:rsidR="00A02ECF" w:rsidRDefault="006104A2">
            <w:pPr>
              <w:jc w:val="center"/>
              <w:rPr>
                <w:b/>
              </w:rPr>
            </w:pPr>
            <w:r>
              <w:rPr>
                <w:b/>
              </w:rPr>
              <w:t>2024 г.</w:t>
            </w:r>
          </w:p>
        </w:tc>
        <w:tc>
          <w:tcPr>
            <w:tcW w:w="1276" w:type="dxa"/>
            <w:shd w:val="clear" w:color="auto" w:fill="auto"/>
            <w:vAlign w:val="center"/>
          </w:tcPr>
          <w:p w:rsidR="00A02ECF" w:rsidRDefault="006104A2">
            <w:pPr>
              <w:jc w:val="center"/>
              <w:rPr>
                <w:b/>
              </w:rPr>
            </w:pPr>
            <w:r>
              <w:rPr>
                <w:b/>
                <w:color w:val="000000"/>
              </w:rPr>
              <w:t>2025 г.</w:t>
            </w:r>
          </w:p>
        </w:tc>
        <w:tc>
          <w:tcPr>
            <w:tcW w:w="4394" w:type="dxa"/>
            <w:shd w:val="clear" w:color="auto" w:fill="auto"/>
            <w:vAlign w:val="center"/>
          </w:tcPr>
          <w:p w:rsidR="00A02ECF" w:rsidRDefault="006104A2">
            <w:pPr>
              <w:jc w:val="center"/>
              <w:rPr>
                <w:b/>
              </w:rPr>
            </w:pPr>
            <w:r>
              <w:rPr>
                <w:b/>
              </w:rPr>
              <w:t>Методика расчета показателя</w:t>
            </w:r>
          </w:p>
        </w:tc>
      </w:tr>
      <w:tr w:rsidR="00A02ECF">
        <w:tc>
          <w:tcPr>
            <w:tcW w:w="456" w:type="dxa"/>
            <w:shd w:val="clear" w:color="auto" w:fill="auto"/>
            <w:vAlign w:val="center"/>
          </w:tcPr>
          <w:p w:rsidR="00A02ECF" w:rsidRDefault="006104A2">
            <w:r>
              <w:t>1</w:t>
            </w:r>
          </w:p>
        </w:tc>
        <w:tc>
          <w:tcPr>
            <w:tcW w:w="2520" w:type="dxa"/>
            <w:shd w:val="clear" w:color="auto" w:fill="auto"/>
            <w:vAlign w:val="center"/>
          </w:tcPr>
          <w:p w:rsidR="00A02ECF" w:rsidRDefault="006104A2">
            <w:r>
              <w:t>Выручка, млн руб.</w:t>
            </w:r>
          </w:p>
        </w:tc>
        <w:tc>
          <w:tcPr>
            <w:tcW w:w="1275" w:type="dxa"/>
            <w:shd w:val="clear" w:color="auto" w:fill="auto"/>
            <w:vAlign w:val="center"/>
          </w:tcPr>
          <w:p w:rsidR="00A02ECF" w:rsidRDefault="006104A2">
            <w:pPr>
              <w:jc w:val="center"/>
              <w:rPr>
                <w:color w:val="000000"/>
                <w:szCs w:val="22"/>
              </w:rPr>
            </w:pPr>
            <w:r>
              <w:rPr>
                <w:bCs/>
              </w:rPr>
              <w:t>10 714 686</w:t>
            </w:r>
          </w:p>
        </w:tc>
        <w:tc>
          <w:tcPr>
            <w:tcW w:w="1276" w:type="dxa"/>
            <w:shd w:val="clear" w:color="auto" w:fill="auto"/>
            <w:vAlign w:val="center"/>
          </w:tcPr>
          <w:p w:rsidR="00A02ECF" w:rsidRDefault="006104A2">
            <w:pPr>
              <w:jc w:val="center"/>
              <w:rPr>
                <w:color w:val="000000"/>
                <w:szCs w:val="22"/>
              </w:rPr>
            </w:pPr>
            <w:r>
              <w:t>9 770 671</w:t>
            </w:r>
          </w:p>
        </w:tc>
        <w:tc>
          <w:tcPr>
            <w:tcW w:w="4394" w:type="dxa"/>
            <w:shd w:val="clear" w:color="auto" w:fill="auto"/>
            <w:vAlign w:val="center"/>
          </w:tcPr>
          <w:p w:rsidR="00A02ECF" w:rsidRDefault="006104A2">
            <w:r>
              <w:t>Значение показателя «Выручка от продаж» консолидированного отчета о совокупном доходе в составе годовой Консолидированной отчетности</w:t>
            </w:r>
          </w:p>
        </w:tc>
      </w:tr>
      <w:tr w:rsidR="00A02ECF">
        <w:tc>
          <w:tcPr>
            <w:tcW w:w="456" w:type="dxa"/>
            <w:shd w:val="clear" w:color="auto" w:fill="auto"/>
            <w:vAlign w:val="center"/>
          </w:tcPr>
          <w:p w:rsidR="00A02ECF" w:rsidRDefault="006104A2">
            <w:r>
              <w:t>2</w:t>
            </w:r>
          </w:p>
        </w:tc>
        <w:tc>
          <w:tcPr>
            <w:tcW w:w="2520" w:type="dxa"/>
            <w:shd w:val="clear" w:color="auto" w:fill="auto"/>
            <w:vAlign w:val="center"/>
          </w:tcPr>
          <w:p w:rsidR="00A02ECF" w:rsidRDefault="006104A2">
            <w:pPr>
              <w:rPr>
                <w:color w:val="FF0000"/>
              </w:rPr>
            </w:pPr>
            <w:r>
              <w:rPr>
                <w:lang w:val="en-US"/>
              </w:rPr>
              <w:t>EBITDA</w:t>
            </w:r>
            <w:r>
              <w:t xml:space="preserve">, млн руб. </w:t>
            </w:r>
          </w:p>
        </w:tc>
        <w:tc>
          <w:tcPr>
            <w:tcW w:w="1275" w:type="dxa"/>
            <w:shd w:val="clear" w:color="auto" w:fill="auto"/>
            <w:vAlign w:val="center"/>
          </w:tcPr>
          <w:p w:rsidR="00A02ECF" w:rsidRDefault="006104A2">
            <w:pPr>
              <w:jc w:val="center"/>
              <w:rPr>
                <w:color w:val="000000"/>
                <w:szCs w:val="22"/>
              </w:rPr>
            </w:pPr>
            <w:r>
              <w:rPr>
                <w:bCs/>
              </w:rPr>
              <w:t>3 107 875</w:t>
            </w:r>
          </w:p>
        </w:tc>
        <w:tc>
          <w:tcPr>
            <w:tcW w:w="1276" w:type="dxa"/>
            <w:shd w:val="clear" w:color="auto" w:fill="auto"/>
            <w:vAlign w:val="center"/>
          </w:tcPr>
          <w:p w:rsidR="00A02ECF" w:rsidRDefault="006104A2">
            <w:pPr>
              <w:jc w:val="center"/>
              <w:rPr>
                <w:color w:val="000000"/>
                <w:szCs w:val="22"/>
              </w:rPr>
            </w:pPr>
            <w:r>
              <w:rPr>
                <w:lang w:val="en-US"/>
              </w:rPr>
              <w:t>2 917 332</w:t>
            </w:r>
          </w:p>
        </w:tc>
        <w:tc>
          <w:tcPr>
            <w:tcW w:w="4394" w:type="dxa"/>
            <w:shd w:val="clear" w:color="auto" w:fill="auto"/>
            <w:vAlign w:val="center"/>
          </w:tcPr>
          <w:p w:rsidR="00A02ECF" w:rsidRDefault="006104A2">
            <w:r>
              <w:t>Значение показателя, рассчитываемого по данным годовой Консолидированной отчетности как сумма операционной прибыли (убытка), амортизации, убытка от обесценения или восстановления убытка от обесценения финансовых и нефинансовых активов за вычетом оценочного резерва под ожидаемые кредитные убытки по дебиторской задолженности и резерва под снижение стоимости авансов выданных и предоплаты.</w:t>
            </w:r>
          </w:p>
        </w:tc>
      </w:tr>
      <w:tr w:rsidR="00A02ECF">
        <w:tc>
          <w:tcPr>
            <w:tcW w:w="456" w:type="dxa"/>
            <w:shd w:val="clear" w:color="auto" w:fill="auto"/>
            <w:vAlign w:val="center"/>
          </w:tcPr>
          <w:p w:rsidR="00A02ECF" w:rsidRDefault="006104A2">
            <w:r>
              <w:t>3</w:t>
            </w:r>
          </w:p>
        </w:tc>
        <w:tc>
          <w:tcPr>
            <w:tcW w:w="2520" w:type="dxa"/>
            <w:shd w:val="clear" w:color="auto" w:fill="auto"/>
            <w:vAlign w:val="center"/>
          </w:tcPr>
          <w:p w:rsidR="00A02ECF" w:rsidRDefault="006104A2">
            <w:r>
              <w:t>Рентабельность по EBITDA (EBITDA margin), %</w:t>
            </w:r>
          </w:p>
        </w:tc>
        <w:tc>
          <w:tcPr>
            <w:tcW w:w="1275" w:type="dxa"/>
            <w:shd w:val="clear" w:color="auto" w:fill="auto"/>
            <w:vAlign w:val="center"/>
          </w:tcPr>
          <w:p w:rsidR="00A02ECF" w:rsidRDefault="006104A2">
            <w:pPr>
              <w:jc w:val="center"/>
              <w:rPr>
                <w:color w:val="000000"/>
                <w:szCs w:val="22"/>
              </w:rPr>
            </w:pPr>
            <w:r>
              <w:rPr>
                <w:bCs/>
              </w:rPr>
              <w:t>29,01%</w:t>
            </w:r>
          </w:p>
        </w:tc>
        <w:tc>
          <w:tcPr>
            <w:tcW w:w="1276" w:type="dxa"/>
            <w:shd w:val="clear" w:color="auto" w:fill="auto"/>
            <w:vAlign w:val="center"/>
          </w:tcPr>
          <w:p w:rsidR="00A02ECF" w:rsidRDefault="006104A2">
            <w:pPr>
              <w:jc w:val="center"/>
              <w:rPr>
                <w:color w:val="000000"/>
                <w:szCs w:val="22"/>
              </w:rPr>
            </w:pPr>
            <w:r>
              <w:t>29,86%</w:t>
            </w:r>
          </w:p>
        </w:tc>
        <w:tc>
          <w:tcPr>
            <w:tcW w:w="4394" w:type="dxa"/>
            <w:shd w:val="clear" w:color="auto" w:fill="auto"/>
            <w:vAlign w:val="center"/>
          </w:tcPr>
          <w:p w:rsidR="00A02ECF" w:rsidRDefault="006104A2">
            <w:r>
              <w:t>Значение показателя, рассчитываемого делением показателя EBITDA за отчетный период на показатель «Выручка от продаж» за отчетный период</w:t>
            </w:r>
          </w:p>
        </w:tc>
      </w:tr>
      <w:tr w:rsidR="00A02ECF">
        <w:tc>
          <w:tcPr>
            <w:tcW w:w="456" w:type="dxa"/>
            <w:shd w:val="clear" w:color="auto" w:fill="auto"/>
            <w:vAlign w:val="center"/>
          </w:tcPr>
          <w:p w:rsidR="00A02ECF" w:rsidRDefault="006104A2">
            <w:r>
              <w:t>4</w:t>
            </w:r>
          </w:p>
        </w:tc>
        <w:tc>
          <w:tcPr>
            <w:tcW w:w="2520" w:type="dxa"/>
            <w:shd w:val="clear" w:color="auto" w:fill="auto"/>
            <w:vAlign w:val="center"/>
          </w:tcPr>
          <w:p w:rsidR="00A02ECF" w:rsidRDefault="006104A2">
            <w:r>
              <w:t>Чистая прибыль (убыток), млн руб.</w:t>
            </w:r>
          </w:p>
        </w:tc>
        <w:tc>
          <w:tcPr>
            <w:tcW w:w="1275" w:type="dxa"/>
            <w:shd w:val="clear" w:color="auto" w:fill="auto"/>
            <w:vAlign w:val="center"/>
          </w:tcPr>
          <w:p w:rsidR="00A02ECF" w:rsidRDefault="006104A2">
            <w:pPr>
              <w:jc w:val="center"/>
              <w:rPr>
                <w:color w:val="000000"/>
                <w:szCs w:val="22"/>
              </w:rPr>
            </w:pPr>
            <w:r>
              <w:rPr>
                <w:bCs/>
              </w:rPr>
              <w:t>1 218 543</w:t>
            </w:r>
          </w:p>
        </w:tc>
        <w:tc>
          <w:tcPr>
            <w:tcW w:w="1276" w:type="dxa"/>
            <w:shd w:val="clear" w:color="auto" w:fill="auto"/>
            <w:vAlign w:val="center"/>
          </w:tcPr>
          <w:p w:rsidR="00A02ECF" w:rsidRDefault="006104A2">
            <w:pPr>
              <w:jc w:val="center"/>
              <w:rPr>
                <w:color w:val="000000"/>
                <w:szCs w:val="22"/>
              </w:rPr>
            </w:pPr>
            <w:r>
              <w:t>1 306 777</w:t>
            </w:r>
            <w:r>
              <w:rPr>
                <w:b/>
              </w:rPr>
              <w:t xml:space="preserve"> </w:t>
            </w:r>
          </w:p>
        </w:tc>
        <w:tc>
          <w:tcPr>
            <w:tcW w:w="4394" w:type="dxa"/>
            <w:shd w:val="clear" w:color="auto" w:fill="auto"/>
            <w:vAlign w:val="center"/>
          </w:tcPr>
          <w:p w:rsidR="00A02ECF" w:rsidRDefault="006104A2">
            <w:r>
              <w:t>Значение показателя «Прибыль (убыток) за год, относящаяся к акционерам ПАО «Газпром» консолидированного отчета о совокупном доходе в составе годовой Консолидированной отчетности</w:t>
            </w:r>
          </w:p>
        </w:tc>
      </w:tr>
      <w:tr w:rsidR="00A02ECF">
        <w:tc>
          <w:tcPr>
            <w:tcW w:w="456" w:type="dxa"/>
            <w:shd w:val="clear" w:color="auto" w:fill="auto"/>
            <w:vAlign w:val="center"/>
          </w:tcPr>
          <w:p w:rsidR="00A02ECF" w:rsidRDefault="006104A2">
            <w:r>
              <w:t>5</w:t>
            </w:r>
          </w:p>
        </w:tc>
        <w:tc>
          <w:tcPr>
            <w:tcW w:w="2520" w:type="dxa"/>
            <w:shd w:val="clear" w:color="auto" w:fill="auto"/>
            <w:vAlign w:val="center"/>
          </w:tcPr>
          <w:p w:rsidR="00A02ECF" w:rsidRDefault="006104A2">
            <w:r>
              <w:t>Чистые денежные средства, полученные от операционной деятельности, млн</w:t>
            </w:r>
            <w:r>
              <w:rPr>
                <w:lang w:val="en-US"/>
              </w:rPr>
              <w:t> </w:t>
            </w:r>
            <w:r>
              <w:t>руб.</w:t>
            </w:r>
          </w:p>
        </w:tc>
        <w:tc>
          <w:tcPr>
            <w:tcW w:w="1275" w:type="dxa"/>
            <w:shd w:val="clear" w:color="auto" w:fill="auto"/>
            <w:vAlign w:val="center"/>
          </w:tcPr>
          <w:p w:rsidR="00A02ECF" w:rsidRDefault="006104A2">
            <w:pPr>
              <w:jc w:val="center"/>
              <w:rPr>
                <w:color w:val="000000"/>
                <w:szCs w:val="22"/>
              </w:rPr>
            </w:pPr>
            <w:r>
              <w:rPr>
                <w:bCs/>
              </w:rPr>
              <w:t>2 495 688</w:t>
            </w:r>
          </w:p>
        </w:tc>
        <w:tc>
          <w:tcPr>
            <w:tcW w:w="1276" w:type="dxa"/>
            <w:shd w:val="clear" w:color="auto" w:fill="auto"/>
            <w:vAlign w:val="center"/>
          </w:tcPr>
          <w:p w:rsidR="00A02ECF" w:rsidRDefault="006104A2">
            <w:pPr>
              <w:jc w:val="center"/>
              <w:rPr>
                <w:color w:val="000000"/>
                <w:szCs w:val="22"/>
              </w:rPr>
            </w:pPr>
            <w:r>
              <w:rPr>
                <w:bCs/>
                <w:color w:val="000000"/>
              </w:rPr>
              <w:t>2 8</w:t>
            </w:r>
            <w:r>
              <w:rPr>
                <w:bCs/>
                <w:color w:val="000000"/>
                <w:lang w:val="en-US"/>
              </w:rPr>
              <w:t>67</w:t>
            </w:r>
            <w:r>
              <w:rPr>
                <w:bCs/>
                <w:color w:val="000000"/>
              </w:rPr>
              <w:t> </w:t>
            </w:r>
            <w:r>
              <w:rPr>
                <w:bCs/>
                <w:color w:val="000000"/>
                <w:lang w:val="en-US"/>
              </w:rPr>
              <w:t xml:space="preserve">018 </w:t>
            </w:r>
          </w:p>
        </w:tc>
        <w:tc>
          <w:tcPr>
            <w:tcW w:w="4394" w:type="dxa"/>
            <w:shd w:val="clear" w:color="auto" w:fill="auto"/>
            <w:vAlign w:val="center"/>
          </w:tcPr>
          <w:p w:rsidR="00A02ECF" w:rsidRDefault="006104A2">
            <w:r>
              <w:t>Значение показателя «Чистые денежные средства от операционной деятельности» консолидированного отчета о движении денежных средств в составе годовой Консолидированной отчетности</w:t>
            </w:r>
          </w:p>
        </w:tc>
      </w:tr>
      <w:tr w:rsidR="00A02ECF">
        <w:tc>
          <w:tcPr>
            <w:tcW w:w="456" w:type="dxa"/>
            <w:shd w:val="clear" w:color="auto" w:fill="auto"/>
            <w:vAlign w:val="center"/>
          </w:tcPr>
          <w:p w:rsidR="00A02ECF" w:rsidRDefault="006104A2">
            <w:r>
              <w:t>6</w:t>
            </w:r>
          </w:p>
        </w:tc>
        <w:tc>
          <w:tcPr>
            <w:tcW w:w="2520" w:type="dxa"/>
            <w:shd w:val="clear" w:color="auto" w:fill="auto"/>
            <w:vAlign w:val="center"/>
          </w:tcPr>
          <w:p w:rsidR="00A02ECF" w:rsidRDefault="006104A2">
            <w:r>
              <w:t>Расходы на приобретение основных средств и нематериальных активов (капитальные затраты), млн руб.</w:t>
            </w:r>
          </w:p>
        </w:tc>
        <w:tc>
          <w:tcPr>
            <w:tcW w:w="1275" w:type="dxa"/>
            <w:shd w:val="clear" w:color="auto" w:fill="auto"/>
            <w:vAlign w:val="center"/>
          </w:tcPr>
          <w:p w:rsidR="00A02ECF" w:rsidRDefault="006104A2">
            <w:pPr>
              <w:jc w:val="center"/>
              <w:rPr>
                <w:color w:val="000000"/>
                <w:szCs w:val="22"/>
              </w:rPr>
            </w:pPr>
            <w:r>
              <w:rPr>
                <w:color w:val="000000"/>
              </w:rPr>
              <w:t>(2 292 360)</w:t>
            </w:r>
            <w:r>
              <w:rPr>
                <w:rStyle w:val="af6"/>
                <w:color w:val="000000"/>
              </w:rPr>
              <w:footnoteReference w:id="4"/>
            </w:r>
            <w:r>
              <w:rPr>
                <w:bCs/>
              </w:rPr>
              <w:t xml:space="preserve"> </w:t>
            </w:r>
          </w:p>
        </w:tc>
        <w:tc>
          <w:tcPr>
            <w:tcW w:w="1276" w:type="dxa"/>
            <w:shd w:val="clear" w:color="auto" w:fill="auto"/>
            <w:vAlign w:val="center"/>
          </w:tcPr>
          <w:p w:rsidR="00A02ECF" w:rsidRDefault="006104A2">
            <w:pPr>
              <w:jc w:val="center"/>
              <w:rPr>
                <w:color w:val="000000"/>
                <w:szCs w:val="22"/>
              </w:rPr>
            </w:pPr>
            <w:r>
              <w:rPr>
                <w:spacing w:val="-2"/>
              </w:rPr>
              <w:t>(2 594 673)</w:t>
            </w:r>
            <w:r>
              <w:rPr>
                <w:b/>
              </w:rPr>
              <w:t xml:space="preserve"> </w:t>
            </w:r>
          </w:p>
        </w:tc>
        <w:tc>
          <w:tcPr>
            <w:tcW w:w="4394" w:type="dxa"/>
            <w:shd w:val="clear" w:color="auto" w:fill="auto"/>
            <w:vAlign w:val="center"/>
          </w:tcPr>
          <w:p w:rsidR="00A02ECF" w:rsidRDefault="006104A2">
            <w:r>
              <w:t>Значение показателя «Капитальные вложения» консолидированного отчета о движении денежных средств в составе годовой Консолидированной отчетности</w:t>
            </w:r>
          </w:p>
        </w:tc>
      </w:tr>
      <w:tr w:rsidR="00A02ECF">
        <w:tc>
          <w:tcPr>
            <w:tcW w:w="456" w:type="dxa"/>
            <w:shd w:val="clear" w:color="auto" w:fill="auto"/>
            <w:vAlign w:val="center"/>
          </w:tcPr>
          <w:p w:rsidR="00A02ECF" w:rsidRDefault="006104A2">
            <w:r>
              <w:t>7</w:t>
            </w:r>
          </w:p>
        </w:tc>
        <w:tc>
          <w:tcPr>
            <w:tcW w:w="2520" w:type="dxa"/>
            <w:shd w:val="clear" w:color="auto" w:fill="auto"/>
            <w:vAlign w:val="center"/>
          </w:tcPr>
          <w:p w:rsidR="00A02ECF" w:rsidRDefault="006104A2">
            <w:r>
              <w:t>Свободный денежный поток (</w:t>
            </w:r>
            <w:r>
              <w:rPr>
                <w:lang w:val="en-US"/>
              </w:rPr>
              <w:t>FCF</w:t>
            </w:r>
            <w:r>
              <w:t>), млн руб.</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A02ECF" w:rsidRPr="00EE2A2E" w:rsidRDefault="006104A2" w:rsidP="00EE2A2E">
            <w:pPr>
              <w:jc w:val="center"/>
              <w:rPr>
                <w:bCs/>
              </w:rPr>
            </w:pPr>
            <w:r>
              <w:rPr>
                <w:bCs/>
              </w:rPr>
              <w:t>203 328</w:t>
            </w:r>
            <w:r>
              <w:rPr>
                <w:rStyle w:val="af6"/>
              </w:rPr>
              <w:t>4</w:t>
            </w:r>
          </w:p>
        </w:tc>
        <w:tc>
          <w:tcPr>
            <w:tcW w:w="1276" w:type="dxa"/>
            <w:tcBorders>
              <w:top w:val="single" w:sz="4" w:space="0" w:color="auto"/>
              <w:left w:val="none" w:sz="4" w:space="0" w:color="000000"/>
              <w:bottom w:val="single" w:sz="4" w:space="0" w:color="auto"/>
              <w:right w:val="single" w:sz="4" w:space="0" w:color="auto"/>
            </w:tcBorders>
            <w:shd w:val="clear" w:color="auto" w:fill="auto"/>
            <w:vAlign w:val="center"/>
          </w:tcPr>
          <w:p w:rsidR="00A02ECF" w:rsidRDefault="006104A2">
            <w:pPr>
              <w:jc w:val="center"/>
              <w:rPr>
                <w:szCs w:val="22"/>
              </w:rPr>
            </w:pPr>
            <w:r>
              <w:rPr>
                <w:lang w:val="en-US"/>
              </w:rPr>
              <w:t>272 345</w:t>
            </w:r>
          </w:p>
        </w:tc>
        <w:tc>
          <w:tcPr>
            <w:tcW w:w="4394" w:type="dxa"/>
            <w:shd w:val="clear" w:color="auto" w:fill="auto"/>
            <w:vAlign w:val="center"/>
          </w:tcPr>
          <w:p w:rsidR="00A02ECF" w:rsidRDefault="006104A2">
            <w:r>
              <w:t>Значение показателя, рассчитываемого как «Чистые денежные средства от операционной деятельности» уменьшенные на значение «Капитальные вложения» консолидированного отчета о движении денежных средств в составе годовой Консолидированной отчетности</w:t>
            </w:r>
          </w:p>
        </w:tc>
      </w:tr>
      <w:tr w:rsidR="00A02ECF">
        <w:tc>
          <w:tcPr>
            <w:tcW w:w="456" w:type="dxa"/>
            <w:shd w:val="clear" w:color="auto" w:fill="auto"/>
            <w:vAlign w:val="center"/>
          </w:tcPr>
          <w:p w:rsidR="00A02ECF" w:rsidRDefault="006104A2">
            <w:r>
              <w:t>8</w:t>
            </w:r>
          </w:p>
        </w:tc>
        <w:tc>
          <w:tcPr>
            <w:tcW w:w="2520" w:type="dxa"/>
            <w:shd w:val="clear" w:color="auto" w:fill="auto"/>
            <w:vAlign w:val="center"/>
          </w:tcPr>
          <w:p w:rsidR="00A02ECF" w:rsidRDefault="006104A2">
            <w:r>
              <w:t>Чистый долг, млн руб.</w:t>
            </w:r>
          </w:p>
        </w:tc>
        <w:tc>
          <w:tcPr>
            <w:tcW w:w="1275" w:type="dxa"/>
            <w:shd w:val="clear" w:color="auto" w:fill="auto"/>
            <w:vAlign w:val="center"/>
          </w:tcPr>
          <w:p w:rsidR="00A02ECF" w:rsidRDefault="006104A2">
            <w:pPr>
              <w:jc w:val="center"/>
              <w:rPr>
                <w:color w:val="000000"/>
                <w:szCs w:val="22"/>
              </w:rPr>
            </w:pPr>
            <w:r>
              <w:rPr>
                <w:bCs/>
              </w:rPr>
              <w:t>5 722 921</w:t>
            </w:r>
          </w:p>
        </w:tc>
        <w:tc>
          <w:tcPr>
            <w:tcW w:w="1276" w:type="dxa"/>
            <w:shd w:val="clear" w:color="auto" w:fill="auto"/>
            <w:vAlign w:val="center"/>
          </w:tcPr>
          <w:p w:rsidR="00A02ECF" w:rsidRDefault="006104A2">
            <w:pPr>
              <w:jc w:val="center"/>
              <w:rPr>
                <w:color w:val="000000"/>
                <w:szCs w:val="22"/>
              </w:rPr>
            </w:pPr>
            <w:r>
              <w:rPr>
                <w:bCs/>
              </w:rPr>
              <w:t>6 104 462</w:t>
            </w:r>
          </w:p>
        </w:tc>
        <w:tc>
          <w:tcPr>
            <w:tcW w:w="4394" w:type="dxa"/>
            <w:shd w:val="clear" w:color="auto" w:fill="auto"/>
            <w:vAlign w:val="center"/>
          </w:tcPr>
          <w:p w:rsidR="00A02ECF" w:rsidRDefault="006104A2">
            <w:r>
              <w:t xml:space="preserve">Значение показателя, рассчитываемого по данным консолидированного </w:t>
            </w:r>
            <w:r w:rsidR="00675AC8">
              <w:t xml:space="preserve">бухгалтерского </w:t>
            </w:r>
            <w:r>
              <w:t xml:space="preserve">баланса в составе годовой Консолидированной отчетности как общая сумма заемных средств (краткосрочные кредиты и займы, текущая часть долгосрочной задолженности по кредитам и займам, краткосрочные векселя к уплате, долгосрочные кредиты и займы, долгосрочные </w:t>
            </w:r>
            <w:r>
              <w:lastRenderedPageBreak/>
              <w:t>векселя к уплате) за вычетом денежных средств и их эквивалентов</w:t>
            </w:r>
          </w:p>
        </w:tc>
      </w:tr>
      <w:tr w:rsidR="00A02ECF">
        <w:tc>
          <w:tcPr>
            <w:tcW w:w="456" w:type="dxa"/>
            <w:shd w:val="clear" w:color="auto" w:fill="auto"/>
            <w:vAlign w:val="center"/>
          </w:tcPr>
          <w:p w:rsidR="00A02ECF" w:rsidRDefault="006104A2">
            <w:r>
              <w:lastRenderedPageBreak/>
              <w:t>9</w:t>
            </w:r>
          </w:p>
        </w:tc>
        <w:tc>
          <w:tcPr>
            <w:tcW w:w="2520" w:type="dxa"/>
            <w:shd w:val="clear" w:color="auto" w:fill="auto"/>
            <w:vAlign w:val="center"/>
          </w:tcPr>
          <w:p w:rsidR="00A02ECF" w:rsidRDefault="006104A2">
            <w:r>
              <w:t xml:space="preserve">Отношение чистого долга </w:t>
            </w:r>
          </w:p>
          <w:p w:rsidR="00A02ECF" w:rsidRDefault="006104A2">
            <w:r>
              <w:t xml:space="preserve">к приведенному показателю EBITDA </w:t>
            </w:r>
          </w:p>
          <w:p w:rsidR="00A02ECF" w:rsidRDefault="006104A2">
            <w:r>
              <w:t>за последние 12 месяцев, ед.</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A02ECF" w:rsidRDefault="006104A2">
            <w:pPr>
              <w:jc w:val="center"/>
              <w:rPr>
                <w:color w:val="000000"/>
                <w:szCs w:val="22"/>
              </w:rPr>
            </w:pPr>
            <w:r>
              <w:rPr>
                <w:bCs/>
              </w:rPr>
              <w:t>1,84</w:t>
            </w:r>
          </w:p>
        </w:tc>
        <w:tc>
          <w:tcPr>
            <w:tcW w:w="1276" w:type="dxa"/>
            <w:tcBorders>
              <w:top w:val="single" w:sz="4" w:space="0" w:color="auto"/>
              <w:left w:val="none" w:sz="4" w:space="0" w:color="000000"/>
              <w:bottom w:val="single" w:sz="4" w:space="0" w:color="auto"/>
              <w:right w:val="single" w:sz="4" w:space="0" w:color="auto"/>
            </w:tcBorders>
            <w:shd w:val="clear" w:color="auto" w:fill="auto"/>
            <w:vAlign w:val="center"/>
          </w:tcPr>
          <w:p w:rsidR="00A02ECF" w:rsidRDefault="006104A2">
            <w:pPr>
              <w:jc w:val="center"/>
              <w:rPr>
                <w:color w:val="000000"/>
                <w:szCs w:val="22"/>
              </w:rPr>
            </w:pPr>
            <w:r>
              <w:rPr>
                <w:lang w:val="en-US"/>
              </w:rPr>
              <w:t>2,09</w:t>
            </w:r>
          </w:p>
        </w:tc>
        <w:tc>
          <w:tcPr>
            <w:tcW w:w="4394" w:type="dxa"/>
            <w:shd w:val="clear" w:color="auto" w:fill="auto"/>
            <w:vAlign w:val="center"/>
          </w:tcPr>
          <w:p w:rsidR="00A02ECF" w:rsidRDefault="006104A2">
            <w:r>
              <w:t xml:space="preserve">Значение показателя, рассчитываемого делением Чистого долга на отчетную дату </w:t>
            </w:r>
          </w:p>
          <w:p w:rsidR="00A02ECF" w:rsidRDefault="006104A2">
            <w:pPr>
              <w:rPr>
                <w:highlight w:val="yellow"/>
              </w:rPr>
            </w:pPr>
            <w:r>
              <w:t>на Приведенный показатель EBITDA за последние 12 месяцев</w:t>
            </w:r>
          </w:p>
        </w:tc>
      </w:tr>
      <w:tr w:rsidR="00A02ECF">
        <w:tc>
          <w:tcPr>
            <w:tcW w:w="456" w:type="dxa"/>
            <w:shd w:val="clear" w:color="auto" w:fill="auto"/>
            <w:vAlign w:val="center"/>
          </w:tcPr>
          <w:p w:rsidR="00A02ECF" w:rsidRDefault="006104A2">
            <w:r>
              <w:t>10</w:t>
            </w:r>
          </w:p>
        </w:tc>
        <w:tc>
          <w:tcPr>
            <w:tcW w:w="2520" w:type="dxa"/>
            <w:shd w:val="clear" w:color="auto" w:fill="auto"/>
            <w:vAlign w:val="center"/>
          </w:tcPr>
          <w:p w:rsidR="00A02ECF" w:rsidRDefault="006104A2">
            <w:r>
              <w:t>Рентабельность капитала (ROE),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A02ECF" w:rsidRDefault="006104A2">
            <w:pPr>
              <w:jc w:val="center"/>
              <w:rPr>
                <w:color w:val="000000"/>
                <w:szCs w:val="22"/>
              </w:rPr>
            </w:pPr>
            <w:r>
              <w:rPr>
                <w:bCs/>
              </w:rPr>
              <w:t>7,53</w:t>
            </w:r>
          </w:p>
        </w:tc>
        <w:tc>
          <w:tcPr>
            <w:tcW w:w="1276" w:type="dxa"/>
            <w:tcBorders>
              <w:top w:val="single" w:sz="4" w:space="0" w:color="auto"/>
              <w:left w:val="none" w:sz="4" w:space="0" w:color="000000"/>
              <w:bottom w:val="single" w:sz="4" w:space="0" w:color="auto"/>
              <w:right w:val="single" w:sz="4" w:space="0" w:color="auto"/>
            </w:tcBorders>
            <w:shd w:val="clear" w:color="auto" w:fill="auto"/>
            <w:vAlign w:val="center"/>
          </w:tcPr>
          <w:p w:rsidR="00A02ECF" w:rsidRDefault="006104A2">
            <w:pPr>
              <w:jc w:val="center"/>
              <w:rPr>
                <w:color w:val="000000"/>
                <w:szCs w:val="22"/>
              </w:rPr>
            </w:pPr>
            <w:r>
              <w:t>7,51</w:t>
            </w:r>
          </w:p>
        </w:tc>
        <w:tc>
          <w:tcPr>
            <w:tcW w:w="4394" w:type="dxa"/>
            <w:shd w:val="clear" w:color="auto" w:fill="auto"/>
            <w:vAlign w:val="center"/>
          </w:tcPr>
          <w:p w:rsidR="00A02ECF" w:rsidRDefault="006104A2">
            <w:r>
              <w:t>Значение показателя, рассчитываемого делением Чистой прибыли (убытка) на среднее значение показателя «Итого капитал» за минусом неконтролирующей доли участия консолидированного бухгалтерского баланса в составе годовой Консолидированной отчетности на начало и конец периода</w:t>
            </w:r>
          </w:p>
        </w:tc>
      </w:tr>
    </w:tbl>
    <w:p w:rsidR="00A02ECF" w:rsidRDefault="006104A2">
      <w:pPr>
        <w:spacing w:before="0" w:after="0"/>
      </w:pPr>
      <w:r>
        <w:rPr>
          <w:sz w:val="18"/>
          <w:szCs w:val="18"/>
          <w:vertAlign w:val="superscript"/>
        </w:rPr>
        <w:t xml:space="preserve"> </w:t>
      </w:r>
      <w:bookmarkEnd w:id="91"/>
    </w:p>
    <w:p w:rsidR="00A02ECF" w:rsidRDefault="006104A2">
      <w:pPr>
        <w:spacing w:before="60"/>
        <w:jc w:val="both"/>
      </w:pPr>
      <w:r>
        <w:t xml:space="preserve">Статьи консолидированной финансовой отчетности, на основе которых рассчитан показатель EBITDA </w:t>
      </w:r>
    </w:p>
    <w:p w:rsidR="00A02ECF" w:rsidRDefault="006104A2">
      <w:pPr>
        <w:spacing w:before="120"/>
        <w:rPr>
          <w:rStyle w:val="Subst"/>
        </w:rPr>
      </w:pPr>
      <w:r>
        <w:t>Единица измерения:</w:t>
      </w:r>
      <w:r>
        <w:rPr>
          <w:rStyle w:val="Subst"/>
        </w:rPr>
        <w:t xml:space="preserve"> млн руб.</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2"/>
        <w:gridCol w:w="2152"/>
        <w:gridCol w:w="2171"/>
      </w:tblGrid>
      <w:tr w:rsidR="00A02ECF">
        <w:trPr>
          <w:tblHeader/>
        </w:trPr>
        <w:tc>
          <w:tcPr>
            <w:tcW w:w="4602" w:type="dxa"/>
            <w:tcBorders>
              <w:bottom w:val="single" w:sz="4" w:space="0" w:color="auto"/>
            </w:tcBorders>
            <w:shd w:val="clear" w:color="auto" w:fill="auto"/>
            <w:vAlign w:val="center"/>
          </w:tcPr>
          <w:p w:rsidR="00A02ECF" w:rsidRDefault="006104A2">
            <w:pPr>
              <w:jc w:val="center"/>
              <w:rPr>
                <w:b/>
                <w:u w:val="single"/>
              </w:rPr>
            </w:pPr>
            <w:r>
              <w:rPr>
                <w:b/>
                <w:color w:val="000000"/>
              </w:rPr>
              <w:t>EBITDA</w:t>
            </w:r>
            <w:r>
              <w:rPr>
                <w:b/>
                <w:color w:val="000000"/>
                <w:lang w:val="en-US"/>
              </w:rPr>
              <w:t xml:space="preserve"> </w:t>
            </w:r>
            <w:r>
              <w:rPr>
                <w:b/>
                <w:color w:val="000000"/>
              </w:rPr>
              <w:t>рассчитывается как:</w:t>
            </w:r>
          </w:p>
        </w:tc>
        <w:tc>
          <w:tcPr>
            <w:tcW w:w="2152" w:type="dxa"/>
            <w:tcBorders>
              <w:bottom w:val="single" w:sz="4" w:space="0" w:color="auto"/>
            </w:tcBorders>
            <w:shd w:val="clear" w:color="auto" w:fill="auto"/>
            <w:vAlign w:val="center"/>
          </w:tcPr>
          <w:p w:rsidR="00A02ECF" w:rsidRDefault="006104A2">
            <w:pPr>
              <w:keepNext/>
              <w:keepLines/>
              <w:spacing w:before="60" w:after="60"/>
              <w:jc w:val="center"/>
              <w:rPr>
                <w:b/>
                <w:color w:val="000000"/>
              </w:rPr>
            </w:pPr>
            <w:r>
              <w:rPr>
                <w:b/>
                <w:color w:val="000000"/>
              </w:rPr>
              <w:t xml:space="preserve">31.12.2024 </w:t>
            </w:r>
          </w:p>
        </w:tc>
        <w:tc>
          <w:tcPr>
            <w:tcW w:w="2171" w:type="dxa"/>
            <w:tcBorders>
              <w:bottom w:val="single" w:sz="4" w:space="0" w:color="auto"/>
            </w:tcBorders>
            <w:shd w:val="clear" w:color="auto" w:fill="auto"/>
            <w:vAlign w:val="center"/>
          </w:tcPr>
          <w:p w:rsidR="00A02ECF" w:rsidRDefault="006104A2">
            <w:pPr>
              <w:keepNext/>
              <w:keepLines/>
              <w:spacing w:before="60" w:after="60"/>
              <w:jc w:val="center"/>
              <w:rPr>
                <w:b/>
                <w:color w:val="000000"/>
              </w:rPr>
            </w:pPr>
            <w:r>
              <w:rPr>
                <w:b/>
                <w:color w:val="000000"/>
              </w:rPr>
              <w:t>31.12.2025</w:t>
            </w:r>
          </w:p>
        </w:tc>
      </w:tr>
      <w:tr w:rsidR="00A02ECF">
        <w:tc>
          <w:tcPr>
            <w:tcW w:w="4602" w:type="dxa"/>
            <w:tcBorders>
              <w:right w:val="none" w:sz="4" w:space="0" w:color="000000"/>
            </w:tcBorders>
            <w:shd w:val="clear" w:color="auto" w:fill="auto"/>
            <w:vAlign w:val="center"/>
          </w:tcPr>
          <w:p w:rsidR="00A02ECF" w:rsidRDefault="006104A2">
            <w:pPr>
              <w:spacing w:after="20"/>
              <w:ind w:left="142"/>
              <w:rPr>
                <w:color w:val="000000"/>
              </w:rPr>
            </w:pPr>
            <w:r>
              <w:rPr>
                <w:color w:val="000000"/>
              </w:rPr>
              <w:t>сумма</w:t>
            </w:r>
          </w:p>
        </w:tc>
        <w:tc>
          <w:tcPr>
            <w:tcW w:w="2152" w:type="dxa"/>
            <w:tcBorders>
              <w:left w:val="none" w:sz="4" w:space="0" w:color="000000"/>
              <w:right w:val="none" w:sz="4" w:space="0" w:color="000000"/>
            </w:tcBorders>
            <w:shd w:val="clear" w:color="auto" w:fill="auto"/>
            <w:vAlign w:val="bottom"/>
          </w:tcPr>
          <w:p w:rsidR="00A02ECF" w:rsidRDefault="00A02ECF">
            <w:pPr>
              <w:spacing w:after="20"/>
              <w:jc w:val="right"/>
              <w:rPr>
                <w:color w:val="000000"/>
              </w:rPr>
            </w:pPr>
          </w:p>
        </w:tc>
        <w:tc>
          <w:tcPr>
            <w:tcW w:w="2171" w:type="dxa"/>
            <w:tcBorders>
              <w:left w:val="none" w:sz="4" w:space="0" w:color="000000"/>
            </w:tcBorders>
            <w:shd w:val="clear" w:color="auto" w:fill="auto"/>
          </w:tcPr>
          <w:p w:rsidR="00A02ECF" w:rsidRDefault="00A02ECF">
            <w:pPr>
              <w:spacing w:after="20"/>
              <w:jc w:val="right"/>
              <w:rPr>
                <w:b/>
                <w:u w:val="single"/>
              </w:rPr>
            </w:pPr>
          </w:p>
        </w:tc>
      </w:tr>
      <w:tr w:rsidR="00A02ECF">
        <w:tc>
          <w:tcPr>
            <w:tcW w:w="4602" w:type="dxa"/>
            <w:shd w:val="clear" w:color="auto" w:fill="auto"/>
            <w:vAlign w:val="center"/>
          </w:tcPr>
          <w:p w:rsidR="00A02ECF" w:rsidRDefault="006104A2">
            <w:pPr>
              <w:spacing w:after="20"/>
              <w:ind w:left="284"/>
              <w:rPr>
                <w:color w:val="000000"/>
              </w:rPr>
            </w:pPr>
            <w:r>
              <w:rPr>
                <w:color w:val="000000"/>
              </w:rPr>
              <w:t xml:space="preserve">операционной прибыли (прибыли </w:t>
            </w:r>
            <w:r>
              <w:rPr>
                <w:color w:val="000000"/>
              </w:rPr>
              <w:br/>
              <w:t>от продаж)</w:t>
            </w:r>
          </w:p>
        </w:tc>
        <w:tc>
          <w:tcPr>
            <w:tcW w:w="2152" w:type="dxa"/>
            <w:shd w:val="clear" w:color="auto" w:fill="auto"/>
            <w:vAlign w:val="center"/>
          </w:tcPr>
          <w:p w:rsidR="00A02ECF" w:rsidRDefault="006104A2">
            <w:pPr>
              <w:spacing w:after="20"/>
              <w:jc w:val="right"/>
              <w:rPr>
                <w:color w:val="000000"/>
              </w:rPr>
            </w:pPr>
            <w:r>
              <w:rPr>
                <w:bCs/>
              </w:rPr>
              <w:t>1 456 390</w:t>
            </w:r>
          </w:p>
        </w:tc>
        <w:tc>
          <w:tcPr>
            <w:tcW w:w="2171" w:type="dxa"/>
            <w:shd w:val="clear" w:color="auto" w:fill="auto"/>
            <w:vAlign w:val="center"/>
          </w:tcPr>
          <w:p w:rsidR="00A02ECF" w:rsidRDefault="006104A2">
            <w:pPr>
              <w:spacing w:after="20"/>
              <w:jc w:val="right"/>
              <w:rPr>
                <w:b/>
                <w:u w:val="single"/>
              </w:rPr>
            </w:pPr>
            <w:r>
              <w:rPr>
                <w:bCs/>
              </w:rPr>
              <w:t>1 309 766</w:t>
            </w:r>
          </w:p>
        </w:tc>
      </w:tr>
      <w:tr w:rsidR="00A02ECF">
        <w:tc>
          <w:tcPr>
            <w:tcW w:w="4602" w:type="dxa"/>
            <w:shd w:val="clear" w:color="auto" w:fill="auto"/>
            <w:vAlign w:val="center"/>
          </w:tcPr>
          <w:p w:rsidR="00A02ECF" w:rsidRDefault="006104A2">
            <w:pPr>
              <w:spacing w:after="20"/>
              <w:ind w:left="284"/>
              <w:rPr>
                <w:color w:val="000000"/>
              </w:rPr>
            </w:pPr>
            <w:r>
              <w:rPr>
                <w:color w:val="000000"/>
              </w:rPr>
              <w:t>амортизации</w:t>
            </w:r>
          </w:p>
        </w:tc>
        <w:tc>
          <w:tcPr>
            <w:tcW w:w="2152" w:type="dxa"/>
            <w:shd w:val="clear" w:color="auto" w:fill="auto"/>
            <w:vAlign w:val="center"/>
          </w:tcPr>
          <w:p w:rsidR="00A02ECF" w:rsidRDefault="006104A2">
            <w:pPr>
              <w:spacing w:after="20"/>
              <w:jc w:val="right"/>
              <w:rPr>
                <w:color w:val="000000"/>
              </w:rPr>
            </w:pPr>
            <w:r>
              <w:rPr>
                <w:bCs/>
              </w:rPr>
              <w:t>1 377 774</w:t>
            </w:r>
          </w:p>
        </w:tc>
        <w:tc>
          <w:tcPr>
            <w:tcW w:w="2171" w:type="dxa"/>
            <w:shd w:val="clear" w:color="auto" w:fill="auto"/>
            <w:vAlign w:val="center"/>
          </w:tcPr>
          <w:p w:rsidR="00A02ECF" w:rsidRDefault="006104A2">
            <w:pPr>
              <w:spacing w:after="20"/>
              <w:jc w:val="right"/>
              <w:rPr>
                <w:b/>
                <w:u w:val="single"/>
              </w:rPr>
            </w:pPr>
            <w:r>
              <w:rPr>
                <w:bCs/>
              </w:rPr>
              <w:t>1 433 790</w:t>
            </w:r>
          </w:p>
        </w:tc>
      </w:tr>
      <w:tr w:rsidR="00A02ECF">
        <w:tc>
          <w:tcPr>
            <w:tcW w:w="4602" w:type="dxa"/>
            <w:shd w:val="clear" w:color="auto" w:fill="auto"/>
            <w:vAlign w:val="center"/>
          </w:tcPr>
          <w:p w:rsidR="00A02ECF" w:rsidRDefault="006104A2">
            <w:pPr>
              <w:spacing w:after="20"/>
              <w:ind w:left="284"/>
              <w:rPr>
                <w:color w:val="000000"/>
              </w:rPr>
            </w:pPr>
            <w:r>
              <w:rPr>
                <w:color w:val="000000"/>
              </w:rPr>
              <w:t xml:space="preserve">убытка от обесценения </w:t>
            </w:r>
            <w:r>
              <w:rPr>
                <w:color w:val="000000"/>
              </w:rPr>
              <w:br/>
              <w:t xml:space="preserve">или восстановления убытка </w:t>
            </w:r>
            <w:r>
              <w:rPr>
                <w:color w:val="000000"/>
              </w:rPr>
              <w:br/>
              <w:t>от обесценения финансовых активов</w:t>
            </w:r>
          </w:p>
        </w:tc>
        <w:tc>
          <w:tcPr>
            <w:tcW w:w="2152" w:type="dxa"/>
            <w:shd w:val="clear" w:color="auto" w:fill="auto"/>
            <w:vAlign w:val="center"/>
          </w:tcPr>
          <w:p w:rsidR="00A02ECF" w:rsidRDefault="006104A2">
            <w:pPr>
              <w:spacing w:after="20"/>
              <w:jc w:val="right"/>
              <w:rPr>
                <w:color w:val="000000"/>
              </w:rPr>
            </w:pPr>
            <w:r>
              <w:rPr>
                <w:bCs/>
              </w:rPr>
              <w:t>206 533</w:t>
            </w:r>
          </w:p>
        </w:tc>
        <w:tc>
          <w:tcPr>
            <w:tcW w:w="2171" w:type="dxa"/>
            <w:shd w:val="clear" w:color="auto" w:fill="auto"/>
            <w:vAlign w:val="center"/>
          </w:tcPr>
          <w:p w:rsidR="00A02ECF" w:rsidRDefault="006104A2">
            <w:pPr>
              <w:spacing w:after="20"/>
              <w:jc w:val="right"/>
              <w:rPr>
                <w:b/>
                <w:u w:val="single"/>
              </w:rPr>
            </w:pPr>
            <w:r>
              <w:rPr>
                <w:bCs/>
              </w:rPr>
              <w:t>100 873</w:t>
            </w:r>
          </w:p>
        </w:tc>
      </w:tr>
      <w:tr w:rsidR="00A02ECF">
        <w:tc>
          <w:tcPr>
            <w:tcW w:w="4602" w:type="dxa"/>
            <w:tcBorders>
              <w:bottom w:val="single" w:sz="4" w:space="0" w:color="auto"/>
            </w:tcBorders>
            <w:shd w:val="clear" w:color="auto" w:fill="auto"/>
            <w:vAlign w:val="center"/>
          </w:tcPr>
          <w:p w:rsidR="00A02ECF" w:rsidRDefault="006104A2">
            <w:pPr>
              <w:spacing w:after="20"/>
              <w:ind w:left="284"/>
              <w:rPr>
                <w:color w:val="000000"/>
              </w:rPr>
            </w:pPr>
            <w:r>
              <w:rPr>
                <w:color w:val="000000"/>
              </w:rPr>
              <w:t xml:space="preserve">убытка от обесценения </w:t>
            </w:r>
            <w:r>
              <w:rPr>
                <w:color w:val="000000"/>
              </w:rPr>
              <w:br/>
              <w:t xml:space="preserve">или восстановления убытка </w:t>
            </w:r>
            <w:r>
              <w:rPr>
                <w:color w:val="000000"/>
              </w:rPr>
              <w:br/>
              <w:t>от обесценения нефинансовых активов</w:t>
            </w:r>
          </w:p>
        </w:tc>
        <w:tc>
          <w:tcPr>
            <w:tcW w:w="2152" w:type="dxa"/>
            <w:tcBorders>
              <w:bottom w:val="single" w:sz="4" w:space="0" w:color="auto"/>
            </w:tcBorders>
            <w:shd w:val="clear" w:color="auto" w:fill="auto"/>
            <w:vAlign w:val="center"/>
          </w:tcPr>
          <w:p w:rsidR="00A02ECF" w:rsidRDefault="006104A2">
            <w:pPr>
              <w:spacing w:after="20"/>
              <w:jc w:val="right"/>
              <w:rPr>
                <w:color w:val="000000"/>
              </w:rPr>
            </w:pPr>
            <w:r>
              <w:rPr>
                <w:bCs/>
              </w:rPr>
              <w:t>286 286</w:t>
            </w:r>
          </w:p>
        </w:tc>
        <w:tc>
          <w:tcPr>
            <w:tcW w:w="2171" w:type="dxa"/>
            <w:tcBorders>
              <w:bottom w:val="single" w:sz="4" w:space="0" w:color="auto"/>
            </w:tcBorders>
            <w:shd w:val="clear" w:color="auto" w:fill="auto"/>
            <w:vAlign w:val="center"/>
          </w:tcPr>
          <w:p w:rsidR="00A02ECF" w:rsidRDefault="006104A2">
            <w:pPr>
              <w:spacing w:after="20"/>
              <w:jc w:val="right"/>
              <w:rPr>
                <w:b/>
                <w:u w:val="single"/>
              </w:rPr>
            </w:pPr>
            <w:r>
              <w:rPr>
                <w:bCs/>
              </w:rPr>
              <w:t>176 019</w:t>
            </w:r>
          </w:p>
        </w:tc>
      </w:tr>
      <w:tr w:rsidR="00A02ECF">
        <w:tc>
          <w:tcPr>
            <w:tcW w:w="4602" w:type="dxa"/>
            <w:tcBorders>
              <w:right w:val="none" w:sz="4" w:space="0" w:color="000000"/>
            </w:tcBorders>
            <w:shd w:val="clear" w:color="auto" w:fill="auto"/>
            <w:vAlign w:val="center"/>
          </w:tcPr>
          <w:p w:rsidR="00A02ECF" w:rsidRDefault="006104A2">
            <w:pPr>
              <w:spacing w:after="20"/>
              <w:ind w:left="142"/>
              <w:rPr>
                <w:color w:val="000000"/>
              </w:rPr>
            </w:pPr>
            <w:r>
              <w:rPr>
                <w:color w:val="000000"/>
              </w:rPr>
              <w:t>за вычетом</w:t>
            </w:r>
          </w:p>
        </w:tc>
        <w:tc>
          <w:tcPr>
            <w:tcW w:w="2152" w:type="dxa"/>
            <w:tcBorders>
              <w:left w:val="none" w:sz="4" w:space="0" w:color="000000"/>
              <w:right w:val="none" w:sz="4" w:space="0" w:color="000000"/>
            </w:tcBorders>
            <w:shd w:val="clear" w:color="auto" w:fill="auto"/>
          </w:tcPr>
          <w:p w:rsidR="00A02ECF" w:rsidRDefault="00A02ECF">
            <w:pPr>
              <w:spacing w:after="20"/>
              <w:jc w:val="right"/>
            </w:pPr>
          </w:p>
        </w:tc>
        <w:tc>
          <w:tcPr>
            <w:tcW w:w="2171" w:type="dxa"/>
            <w:tcBorders>
              <w:left w:val="none" w:sz="4" w:space="0" w:color="000000"/>
            </w:tcBorders>
            <w:shd w:val="clear" w:color="auto" w:fill="auto"/>
          </w:tcPr>
          <w:p w:rsidR="00A02ECF" w:rsidRDefault="00A02ECF">
            <w:pPr>
              <w:spacing w:after="20"/>
              <w:jc w:val="right"/>
              <w:rPr>
                <w:b/>
                <w:u w:val="single"/>
              </w:rPr>
            </w:pPr>
          </w:p>
        </w:tc>
      </w:tr>
      <w:tr w:rsidR="00A02ECF">
        <w:tc>
          <w:tcPr>
            <w:tcW w:w="4602" w:type="dxa"/>
            <w:shd w:val="clear" w:color="auto" w:fill="auto"/>
            <w:vAlign w:val="center"/>
          </w:tcPr>
          <w:p w:rsidR="00A02ECF" w:rsidRDefault="006104A2">
            <w:pPr>
              <w:spacing w:after="20"/>
              <w:ind w:left="284"/>
              <w:rPr>
                <w:color w:val="000000"/>
              </w:rPr>
            </w:pPr>
            <w:r>
              <w:rPr>
                <w:color w:val="000000"/>
              </w:rPr>
              <w:t xml:space="preserve">оценочного резерва под ожидаемые кредитные убытки по дебиторской задолженности </w:t>
            </w:r>
          </w:p>
        </w:tc>
        <w:tc>
          <w:tcPr>
            <w:tcW w:w="2152" w:type="dxa"/>
            <w:shd w:val="clear" w:color="auto" w:fill="auto"/>
            <w:vAlign w:val="center"/>
          </w:tcPr>
          <w:p w:rsidR="00A02ECF" w:rsidRDefault="006104A2">
            <w:pPr>
              <w:spacing w:after="20"/>
              <w:jc w:val="right"/>
            </w:pPr>
            <w:r>
              <w:rPr>
                <w:bCs/>
              </w:rPr>
              <w:t>206 533</w:t>
            </w:r>
          </w:p>
        </w:tc>
        <w:tc>
          <w:tcPr>
            <w:tcW w:w="2171" w:type="dxa"/>
            <w:shd w:val="clear" w:color="auto" w:fill="auto"/>
            <w:vAlign w:val="center"/>
          </w:tcPr>
          <w:p w:rsidR="00A02ECF" w:rsidRDefault="006104A2">
            <w:pPr>
              <w:spacing w:after="20"/>
              <w:jc w:val="right"/>
              <w:rPr>
                <w:b/>
                <w:u w:val="single"/>
              </w:rPr>
            </w:pPr>
            <w:r>
              <w:rPr>
                <w:bCs/>
              </w:rPr>
              <w:t>100 873</w:t>
            </w:r>
          </w:p>
        </w:tc>
      </w:tr>
      <w:tr w:rsidR="00A02ECF">
        <w:tc>
          <w:tcPr>
            <w:tcW w:w="4602" w:type="dxa"/>
            <w:shd w:val="clear" w:color="auto" w:fill="auto"/>
          </w:tcPr>
          <w:p w:rsidR="00A02ECF" w:rsidRDefault="006104A2">
            <w:pPr>
              <w:spacing w:after="20"/>
              <w:ind w:left="284"/>
              <w:rPr>
                <w:b/>
                <w:u w:val="single"/>
              </w:rPr>
            </w:pPr>
            <w:r>
              <w:rPr>
                <w:color w:val="000000"/>
              </w:rPr>
              <w:t xml:space="preserve">резерва под снижение стоимости авансов выданных и предоплаты </w:t>
            </w:r>
          </w:p>
        </w:tc>
        <w:tc>
          <w:tcPr>
            <w:tcW w:w="2152" w:type="dxa"/>
            <w:shd w:val="clear" w:color="auto" w:fill="auto"/>
            <w:vAlign w:val="center"/>
          </w:tcPr>
          <w:p w:rsidR="00A02ECF" w:rsidRDefault="006104A2">
            <w:pPr>
              <w:spacing w:after="20"/>
              <w:jc w:val="right"/>
            </w:pPr>
            <w:r>
              <w:rPr>
                <w:bCs/>
              </w:rPr>
              <w:t>12 575</w:t>
            </w:r>
          </w:p>
        </w:tc>
        <w:tc>
          <w:tcPr>
            <w:tcW w:w="2171" w:type="dxa"/>
            <w:shd w:val="clear" w:color="auto" w:fill="auto"/>
            <w:vAlign w:val="center"/>
          </w:tcPr>
          <w:p w:rsidR="00A02ECF" w:rsidRDefault="006104A2">
            <w:pPr>
              <w:spacing w:after="20"/>
              <w:jc w:val="right"/>
              <w:rPr>
                <w:b/>
                <w:u w:val="single"/>
              </w:rPr>
            </w:pPr>
            <w:r>
              <w:rPr>
                <w:bCs/>
              </w:rPr>
              <w:t>2 243</w:t>
            </w:r>
          </w:p>
        </w:tc>
      </w:tr>
      <w:tr w:rsidR="00A02ECF">
        <w:tc>
          <w:tcPr>
            <w:tcW w:w="4602" w:type="dxa"/>
            <w:shd w:val="clear" w:color="auto" w:fill="auto"/>
            <w:vAlign w:val="center"/>
          </w:tcPr>
          <w:p w:rsidR="00A02ECF" w:rsidRDefault="006104A2">
            <w:pPr>
              <w:rPr>
                <w:b/>
                <w:u w:val="single"/>
              </w:rPr>
            </w:pPr>
            <w:r>
              <w:rPr>
                <w:b/>
                <w:color w:val="000000"/>
              </w:rPr>
              <w:t>EBITDA</w:t>
            </w:r>
          </w:p>
        </w:tc>
        <w:tc>
          <w:tcPr>
            <w:tcW w:w="2152" w:type="dxa"/>
            <w:shd w:val="clear" w:color="auto" w:fill="auto"/>
            <w:vAlign w:val="center"/>
          </w:tcPr>
          <w:p w:rsidR="00A02ECF" w:rsidRDefault="006104A2">
            <w:pPr>
              <w:jc w:val="right"/>
              <w:rPr>
                <w:b/>
                <w:color w:val="000000"/>
              </w:rPr>
            </w:pPr>
            <w:r>
              <w:rPr>
                <w:b/>
              </w:rPr>
              <w:t>3 107 875</w:t>
            </w:r>
          </w:p>
        </w:tc>
        <w:tc>
          <w:tcPr>
            <w:tcW w:w="2171" w:type="dxa"/>
            <w:shd w:val="clear" w:color="auto" w:fill="auto"/>
            <w:vAlign w:val="center"/>
          </w:tcPr>
          <w:p w:rsidR="00A02ECF" w:rsidRDefault="006104A2">
            <w:pPr>
              <w:spacing w:before="120"/>
              <w:jc w:val="right"/>
              <w:rPr>
                <w:b/>
                <w:u w:val="single"/>
              </w:rPr>
            </w:pPr>
            <w:r>
              <w:rPr>
                <w:b/>
                <w:bCs/>
              </w:rPr>
              <w:t>2 917 332</w:t>
            </w:r>
          </w:p>
        </w:tc>
      </w:tr>
    </w:tbl>
    <w:p w:rsidR="00A02ECF" w:rsidRDefault="00A02ECF">
      <w:pPr>
        <w:spacing w:before="0" w:after="0"/>
      </w:pPr>
    </w:p>
    <w:p w:rsidR="00A02ECF" w:rsidRDefault="006104A2">
      <w:pPr>
        <w:spacing w:before="60"/>
        <w:jc w:val="both"/>
      </w:pPr>
      <w:r>
        <w:t>Статьи консолидированной финансовой отчетности, на основе которых рассчитан показатель «Чистый долг»</w:t>
      </w:r>
    </w:p>
    <w:p w:rsidR="00A02ECF" w:rsidRDefault="006104A2">
      <w:pPr>
        <w:spacing w:before="120"/>
        <w:rPr>
          <w:b/>
          <w:i/>
        </w:rPr>
      </w:pPr>
      <w:r>
        <w:t>Единица измерения:</w:t>
      </w:r>
      <w:r>
        <w:rPr>
          <w:rStyle w:val="Subst"/>
        </w:rPr>
        <w:t xml:space="preserve"> млн руб.</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1"/>
        <w:gridCol w:w="2153"/>
        <w:gridCol w:w="2171"/>
      </w:tblGrid>
      <w:tr w:rsidR="00A02ECF">
        <w:trPr>
          <w:tblHeader/>
        </w:trPr>
        <w:tc>
          <w:tcPr>
            <w:tcW w:w="4601" w:type="dxa"/>
            <w:tcBorders>
              <w:bottom w:val="single" w:sz="4" w:space="0" w:color="auto"/>
            </w:tcBorders>
            <w:shd w:val="clear" w:color="auto" w:fill="auto"/>
            <w:vAlign w:val="center"/>
          </w:tcPr>
          <w:p w:rsidR="00A02ECF" w:rsidRDefault="006104A2">
            <w:pPr>
              <w:jc w:val="center"/>
              <w:rPr>
                <w:b/>
                <w:u w:val="single"/>
              </w:rPr>
            </w:pPr>
            <w:r>
              <w:rPr>
                <w:b/>
                <w:color w:val="000000"/>
              </w:rPr>
              <w:t xml:space="preserve">Показатель «Чистый долг» </w:t>
            </w:r>
            <w:r>
              <w:rPr>
                <w:b/>
                <w:color w:val="000000"/>
              </w:rPr>
              <w:br/>
              <w:t>рассчитывается как:</w:t>
            </w:r>
          </w:p>
        </w:tc>
        <w:tc>
          <w:tcPr>
            <w:tcW w:w="2153" w:type="dxa"/>
            <w:tcBorders>
              <w:bottom w:val="single" w:sz="4" w:space="0" w:color="auto"/>
            </w:tcBorders>
            <w:shd w:val="clear" w:color="auto" w:fill="auto"/>
            <w:vAlign w:val="center"/>
          </w:tcPr>
          <w:p w:rsidR="00A02ECF" w:rsidRDefault="006104A2">
            <w:pPr>
              <w:keepNext/>
              <w:keepLines/>
              <w:spacing w:before="60" w:after="60"/>
              <w:jc w:val="center"/>
              <w:rPr>
                <w:b/>
                <w:color w:val="000000"/>
              </w:rPr>
            </w:pPr>
            <w:r>
              <w:rPr>
                <w:b/>
                <w:color w:val="000000"/>
              </w:rPr>
              <w:t xml:space="preserve">31.12.2024 </w:t>
            </w:r>
          </w:p>
        </w:tc>
        <w:tc>
          <w:tcPr>
            <w:tcW w:w="2171" w:type="dxa"/>
            <w:tcBorders>
              <w:bottom w:val="single" w:sz="4" w:space="0" w:color="auto"/>
            </w:tcBorders>
            <w:shd w:val="clear" w:color="auto" w:fill="auto"/>
            <w:vAlign w:val="center"/>
          </w:tcPr>
          <w:p w:rsidR="00A02ECF" w:rsidRDefault="006104A2">
            <w:pPr>
              <w:keepNext/>
              <w:keepLines/>
              <w:spacing w:before="60" w:after="60"/>
              <w:jc w:val="center"/>
              <w:rPr>
                <w:b/>
                <w:color w:val="000000"/>
              </w:rPr>
            </w:pPr>
            <w:r>
              <w:rPr>
                <w:b/>
                <w:color w:val="000000"/>
              </w:rPr>
              <w:t>31.12.2025</w:t>
            </w:r>
          </w:p>
        </w:tc>
      </w:tr>
      <w:tr w:rsidR="00A02ECF">
        <w:tc>
          <w:tcPr>
            <w:tcW w:w="4601" w:type="dxa"/>
            <w:tcBorders>
              <w:right w:val="none" w:sz="4" w:space="0" w:color="000000"/>
            </w:tcBorders>
            <w:shd w:val="clear" w:color="auto" w:fill="auto"/>
            <w:vAlign w:val="center"/>
          </w:tcPr>
          <w:p w:rsidR="00A02ECF" w:rsidRDefault="006104A2">
            <w:pPr>
              <w:ind w:left="142"/>
              <w:rPr>
                <w:color w:val="000000"/>
              </w:rPr>
            </w:pPr>
            <w:r>
              <w:rPr>
                <w:color w:val="000000"/>
              </w:rPr>
              <w:t>сумма</w:t>
            </w:r>
          </w:p>
        </w:tc>
        <w:tc>
          <w:tcPr>
            <w:tcW w:w="2153" w:type="dxa"/>
            <w:tcBorders>
              <w:left w:val="none" w:sz="4" w:space="0" w:color="000000"/>
              <w:right w:val="none" w:sz="4" w:space="0" w:color="000000"/>
            </w:tcBorders>
            <w:shd w:val="clear" w:color="auto" w:fill="auto"/>
            <w:vAlign w:val="bottom"/>
          </w:tcPr>
          <w:p w:rsidR="00A02ECF" w:rsidRDefault="00A02ECF">
            <w:pPr>
              <w:jc w:val="right"/>
              <w:rPr>
                <w:color w:val="000000"/>
              </w:rPr>
            </w:pPr>
          </w:p>
        </w:tc>
        <w:tc>
          <w:tcPr>
            <w:tcW w:w="2171" w:type="dxa"/>
            <w:tcBorders>
              <w:left w:val="none" w:sz="4" w:space="0" w:color="000000"/>
            </w:tcBorders>
            <w:shd w:val="clear" w:color="auto" w:fill="auto"/>
          </w:tcPr>
          <w:p w:rsidR="00A02ECF" w:rsidRDefault="00A02ECF">
            <w:pPr>
              <w:spacing w:before="120"/>
              <w:jc w:val="right"/>
              <w:rPr>
                <w:b/>
                <w:u w:val="single"/>
              </w:rPr>
            </w:pPr>
          </w:p>
        </w:tc>
      </w:tr>
      <w:tr w:rsidR="00A02ECF">
        <w:tc>
          <w:tcPr>
            <w:tcW w:w="4601" w:type="dxa"/>
            <w:shd w:val="clear" w:color="auto" w:fill="auto"/>
            <w:vAlign w:val="center"/>
          </w:tcPr>
          <w:p w:rsidR="00A02ECF" w:rsidRDefault="006104A2">
            <w:pPr>
              <w:ind w:left="284"/>
              <w:rPr>
                <w:color w:val="000000"/>
              </w:rPr>
            </w:pPr>
            <w:r>
              <w:rPr>
                <w:color w:val="000000"/>
              </w:rPr>
              <w:t>долгосрочных кредитов и займов, долгосрочных векселей к уплате</w:t>
            </w:r>
          </w:p>
        </w:tc>
        <w:tc>
          <w:tcPr>
            <w:tcW w:w="2153" w:type="dxa"/>
            <w:shd w:val="clear" w:color="auto" w:fill="auto"/>
            <w:vAlign w:val="center"/>
          </w:tcPr>
          <w:p w:rsidR="00A02ECF" w:rsidRDefault="006104A2">
            <w:pPr>
              <w:jc w:val="right"/>
              <w:rPr>
                <w:color w:val="000000"/>
              </w:rPr>
            </w:pPr>
            <w:r>
              <w:rPr>
                <w:bCs/>
              </w:rPr>
              <w:t>5 292 754</w:t>
            </w:r>
          </w:p>
        </w:tc>
        <w:tc>
          <w:tcPr>
            <w:tcW w:w="2171" w:type="dxa"/>
            <w:shd w:val="clear" w:color="auto" w:fill="auto"/>
            <w:vAlign w:val="center"/>
          </w:tcPr>
          <w:p w:rsidR="00A02ECF" w:rsidRDefault="006104A2">
            <w:pPr>
              <w:spacing w:before="120"/>
              <w:jc w:val="right"/>
              <w:rPr>
                <w:b/>
                <w:u w:val="single"/>
              </w:rPr>
            </w:pPr>
            <w:r>
              <w:rPr>
                <w:bCs/>
              </w:rPr>
              <w:t>5 238 487</w:t>
            </w:r>
          </w:p>
        </w:tc>
      </w:tr>
      <w:tr w:rsidR="00A02ECF">
        <w:tc>
          <w:tcPr>
            <w:tcW w:w="4601" w:type="dxa"/>
            <w:tcBorders>
              <w:bottom w:val="single" w:sz="4" w:space="0" w:color="auto"/>
            </w:tcBorders>
            <w:shd w:val="clear" w:color="auto" w:fill="auto"/>
            <w:vAlign w:val="center"/>
          </w:tcPr>
          <w:p w:rsidR="00A02ECF" w:rsidRDefault="006104A2">
            <w:pPr>
              <w:ind w:left="284"/>
              <w:rPr>
                <w:color w:val="000000"/>
              </w:rPr>
            </w:pPr>
            <w:r>
              <w:rPr>
                <w:color w:val="000000"/>
              </w:rPr>
              <w:t>краткосрочных кредитов и займов, текущей части долгосрочной задолженности по кредитам и займам, краткосрочных векселей к уплате</w:t>
            </w:r>
          </w:p>
        </w:tc>
        <w:tc>
          <w:tcPr>
            <w:tcW w:w="2153" w:type="dxa"/>
            <w:tcBorders>
              <w:bottom w:val="single" w:sz="4" w:space="0" w:color="auto"/>
            </w:tcBorders>
            <w:shd w:val="clear" w:color="auto" w:fill="auto"/>
            <w:vAlign w:val="center"/>
          </w:tcPr>
          <w:p w:rsidR="00A02ECF" w:rsidRDefault="006104A2">
            <w:pPr>
              <w:jc w:val="right"/>
              <w:rPr>
                <w:color w:val="000000"/>
              </w:rPr>
            </w:pPr>
            <w:r>
              <w:rPr>
                <w:bCs/>
              </w:rPr>
              <w:t>1 422 056</w:t>
            </w:r>
          </w:p>
        </w:tc>
        <w:tc>
          <w:tcPr>
            <w:tcW w:w="2171" w:type="dxa"/>
            <w:tcBorders>
              <w:bottom w:val="single" w:sz="4" w:space="0" w:color="auto"/>
            </w:tcBorders>
            <w:shd w:val="clear" w:color="auto" w:fill="auto"/>
            <w:vAlign w:val="center"/>
          </w:tcPr>
          <w:p w:rsidR="00A02ECF" w:rsidRDefault="006104A2">
            <w:pPr>
              <w:spacing w:before="120"/>
              <w:jc w:val="right"/>
              <w:rPr>
                <w:b/>
                <w:u w:val="single"/>
              </w:rPr>
            </w:pPr>
            <w:r>
              <w:rPr>
                <w:bCs/>
              </w:rPr>
              <w:t>1 499 165</w:t>
            </w:r>
          </w:p>
        </w:tc>
      </w:tr>
      <w:tr w:rsidR="00A02ECF">
        <w:tc>
          <w:tcPr>
            <w:tcW w:w="4601" w:type="dxa"/>
            <w:tcBorders>
              <w:right w:val="none" w:sz="4" w:space="0" w:color="000000"/>
            </w:tcBorders>
            <w:shd w:val="clear" w:color="auto" w:fill="auto"/>
            <w:vAlign w:val="center"/>
          </w:tcPr>
          <w:p w:rsidR="00A02ECF" w:rsidRDefault="006104A2">
            <w:pPr>
              <w:ind w:left="142"/>
              <w:rPr>
                <w:color w:val="000000"/>
              </w:rPr>
            </w:pPr>
            <w:r>
              <w:rPr>
                <w:color w:val="000000"/>
              </w:rPr>
              <w:t>за вычетом</w:t>
            </w:r>
          </w:p>
        </w:tc>
        <w:tc>
          <w:tcPr>
            <w:tcW w:w="2153" w:type="dxa"/>
            <w:tcBorders>
              <w:left w:val="none" w:sz="4" w:space="0" w:color="000000"/>
              <w:right w:val="none" w:sz="4" w:space="0" w:color="000000"/>
            </w:tcBorders>
            <w:shd w:val="clear" w:color="auto" w:fill="auto"/>
          </w:tcPr>
          <w:p w:rsidR="00A02ECF" w:rsidRDefault="00A02ECF">
            <w:pPr>
              <w:jc w:val="right"/>
            </w:pPr>
          </w:p>
        </w:tc>
        <w:tc>
          <w:tcPr>
            <w:tcW w:w="2171" w:type="dxa"/>
            <w:tcBorders>
              <w:left w:val="none" w:sz="4" w:space="0" w:color="000000"/>
            </w:tcBorders>
            <w:shd w:val="clear" w:color="auto" w:fill="auto"/>
          </w:tcPr>
          <w:p w:rsidR="00A02ECF" w:rsidRDefault="00A02ECF">
            <w:pPr>
              <w:spacing w:before="120"/>
              <w:jc w:val="right"/>
              <w:rPr>
                <w:b/>
                <w:u w:val="single"/>
              </w:rPr>
            </w:pPr>
          </w:p>
        </w:tc>
      </w:tr>
      <w:tr w:rsidR="00A02ECF">
        <w:tc>
          <w:tcPr>
            <w:tcW w:w="4601" w:type="dxa"/>
            <w:shd w:val="clear" w:color="auto" w:fill="auto"/>
            <w:vAlign w:val="center"/>
          </w:tcPr>
          <w:p w:rsidR="00A02ECF" w:rsidRDefault="006104A2">
            <w:pPr>
              <w:spacing w:before="40"/>
              <w:ind w:left="284"/>
              <w:rPr>
                <w:color w:val="000000"/>
              </w:rPr>
            </w:pPr>
            <w:r>
              <w:rPr>
                <w:color w:val="000000"/>
              </w:rPr>
              <w:t>денежных средств и их эквивалентов</w:t>
            </w:r>
          </w:p>
        </w:tc>
        <w:tc>
          <w:tcPr>
            <w:tcW w:w="2153" w:type="dxa"/>
            <w:shd w:val="clear" w:color="auto" w:fill="auto"/>
            <w:vAlign w:val="center"/>
          </w:tcPr>
          <w:p w:rsidR="00A02ECF" w:rsidRDefault="006104A2">
            <w:pPr>
              <w:jc w:val="right"/>
            </w:pPr>
            <w:r>
              <w:rPr>
                <w:bCs/>
              </w:rPr>
              <w:t>991 889</w:t>
            </w:r>
          </w:p>
        </w:tc>
        <w:tc>
          <w:tcPr>
            <w:tcW w:w="2171" w:type="dxa"/>
            <w:shd w:val="clear" w:color="auto" w:fill="auto"/>
            <w:vAlign w:val="center"/>
          </w:tcPr>
          <w:p w:rsidR="00A02ECF" w:rsidRDefault="006104A2">
            <w:pPr>
              <w:spacing w:before="120"/>
              <w:jc w:val="right"/>
              <w:rPr>
                <w:b/>
                <w:u w:val="single"/>
              </w:rPr>
            </w:pPr>
            <w:r>
              <w:rPr>
                <w:bCs/>
              </w:rPr>
              <w:t>633 190</w:t>
            </w:r>
          </w:p>
        </w:tc>
      </w:tr>
      <w:tr w:rsidR="00A02ECF">
        <w:tc>
          <w:tcPr>
            <w:tcW w:w="4601" w:type="dxa"/>
            <w:shd w:val="clear" w:color="auto" w:fill="auto"/>
          </w:tcPr>
          <w:p w:rsidR="00A02ECF" w:rsidRDefault="006104A2">
            <w:pPr>
              <w:spacing w:before="40"/>
              <w:rPr>
                <w:b/>
                <w:u w:val="single"/>
              </w:rPr>
            </w:pPr>
            <w:r>
              <w:rPr>
                <w:b/>
                <w:color w:val="000000"/>
              </w:rPr>
              <w:lastRenderedPageBreak/>
              <w:t>Чистый долг</w:t>
            </w:r>
          </w:p>
        </w:tc>
        <w:tc>
          <w:tcPr>
            <w:tcW w:w="2153" w:type="dxa"/>
            <w:shd w:val="clear" w:color="auto" w:fill="auto"/>
            <w:vAlign w:val="center"/>
          </w:tcPr>
          <w:p w:rsidR="00A02ECF" w:rsidRDefault="006104A2">
            <w:pPr>
              <w:jc w:val="right"/>
              <w:rPr>
                <w:b/>
              </w:rPr>
            </w:pPr>
            <w:r>
              <w:rPr>
                <w:b/>
              </w:rPr>
              <w:t>5 722 921</w:t>
            </w:r>
          </w:p>
        </w:tc>
        <w:tc>
          <w:tcPr>
            <w:tcW w:w="2171" w:type="dxa"/>
            <w:shd w:val="clear" w:color="auto" w:fill="auto"/>
            <w:vAlign w:val="center"/>
          </w:tcPr>
          <w:p w:rsidR="00A02ECF" w:rsidRDefault="006104A2">
            <w:pPr>
              <w:spacing w:before="120"/>
              <w:jc w:val="right"/>
              <w:rPr>
                <w:b/>
                <w:u w:val="single"/>
              </w:rPr>
            </w:pPr>
            <w:r>
              <w:rPr>
                <w:b/>
                <w:bCs/>
              </w:rPr>
              <w:t>6 104 462</w:t>
            </w:r>
          </w:p>
        </w:tc>
      </w:tr>
    </w:tbl>
    <w:p w:rsidR="00A02ECF" w:rsidRDefault="00A02ECF"/>
    <w:p w:rsidR="00A02ECF" w:rsidRDefault="006104A2">
      <w:pPr>
        <w:pStyle w:val="2"/>
        <w:jc w:val="both"/>
        <w:rPr>
          <w:color w:val="000000"/>
        </w:rPr>
      </w:pPr>
      <w:bookmarkStart w:id="92" w:name="_Toc230104296"/>
      <w:r>
        <w:rPr>
          <w:color w:val="000000"/>
        </w:rPr>
        <w:t>1.4.2. Финансовые показатели, рассчитываемые на основе бухгалтерской (финансовой) отчетности</w:t>
      </w:r>
      <w:bookmarkEnd w:id="92"/>
    </w:p>
    <w:p w:rsidR="00A02ECF" w:rsidRDefault="006104A2">
      <w:pPr>
        <w:spacing w:before="120"/>
        <w:jc w:val="both"/>
        <w:rPr>
          <w:color w:val="000000"/>
        </w:rPr>
      </w:pPr>
      <w:r>
        <w:rPr>
          <w:color w:val="000000"/>
        </w:rPr>
        <w:t>Эмитент составляет и раскрывает консолидированную финансовую отчетность, подготовленную в</w:t>
      </w:r>
      <w:r>
        <w:rPr>
          <w:color w:val="000000"/>
          <w:lang w:val="en-US"/>
        </w:rPr>
        <w:t> </w:t>
      </w:r>
      <w:r>
        <w:rPr>
          <w:color w:val="000000"/>
        </w:rPr>
        <w:t>соответствии со стандартами финансовой отчетности МСФО</w:t>
      </w:r>
      <w:r w:rsidR="00675AC8">
        <w:rPr>
          <w:color w:val="000000"/>
        </w:rPr>
        <w:t>,</w:t>
      </w:r>
      <w:r>
        <w:rPr>
          <w:i/>
        </w:rPr>
        <w:t xml:space="preserve"> </w:t>
      </w:r>
      <w:r>
        <w:rPr>
          <w:iCs/>
        </w:rPr>
        <w:t>с</w:t>
      </w:r>
      <w:r>
        <w:rPr>
          <w:b/>
          <w:iCs/>
        </w:rPr>
        <w:t xml:space="preserve"> </w:t>
      </w:r>
      <w:r>
        <w:rPr>
          <w:bCs/>
          <w:iCs/>
        </w:rPr>
        <w:t>аудиторским заключением независимого аудитора</w:t>
      </w:r>
      <w:r>
        <w:rPr>
          <w:color w:val="000000"/>
        </w:rPr>
        <w:t>.</w:t>
      </w:r>
    </w:p>
    <w:p w:rsidR="00A02ECF" w:rsidRDefault="006104A2">
      <w:pPr>
        <w:pStyle w:val="2"/>
        <w:rPr>
          <w:color w:val="000000"/>
        </w:rPr>
      </w:pPr>
      <w:bookmarkStart w:id="93" w:name="_Toc230104297"/>
      <w:r>
        <w:rPr>
          <w:color w:val="000000"/>
        </w:rPr>
        <w:t>1.4.3. Финансовые показатели кредитной организации</w:t>
      </w:r>
      <w:bookmarkEnd w:id="93"/>
    </w:p>
    <w:p w:rsidR="00A02ECF" w:rsidRDefault="006104A2">
      <w:pPr>
        <w:rPr>
          <w:color w:val="000000"/>
        </w:rPr>
      </w:pPr>
      <w:r>
        <w:rPr>
          <w:color w:val="000000"/>
        </w:rPr>
        <w:t>Эмитент не является кредитной организацией</w:t>
      </w:r>
    </w:p>
    <w:p w:rsidR="00A02ECF" w:rsidRDefault="006104A2">
      <w:pPr>
        <w:pStyle w:val="2"/>
        <w:rPr>
          <w:color w:val="000000"/>
        </w:rPr>
      </w:pPr>
      <w:bookmarkStart w:id="94" w:name="_Toc230104298"/>
      <w:r>
        <w:rPr>
          <w:color w:val="000000"/>
        </w:rPr>
        <w:t>1.4.4. Иные финансовые показатели</w:t>
      </w:r>
      <w:bookmarkEnd w:id="94"/>
    </w:p>
    <w:p w:rsidR="00A02ECF" w:rsidRDefault="006104A2">
      <w:pPr>
        <w:spacing w:before="120"/>
        <w:rPr>
          <w:color w:val="000000"/>
        </w:rPr>
      </w:pPr>
      <w:r>
        <w:rPr>
          <w:b/>
          <w:bCs/>
          <w:i/>
          <w:iCs/>
          <w:color w:val="000000"/>
        </w:rPr>
        <w:t xml:space="preserve">Информация не указывается </w:t>
      </w:r>
    </w:p>
    <w:p w:rsidR="00A02ECF" w:rsidRDefault="006104A2">
      <w:pPr>
        <w:pStyle w:val="2"/>
        <w:jc w:val="both"/>
        <w:rPr>
          <w:color w:val="000000"/>
        </w:rPr>
      </w:pPr>
      <w:bookmarkStart w:id="95" w:name="_Toc230104299"/>
      <w:r>
        <w:rPr>
          <w:color w:val="000000"/>
        </w:rPr>
        <w:t xml:space="preserve">1.4.5. </w:t>
      </w:r>
      <w:bookmarkStart w:id="96" w:name="_Hlk176350361"/>
      <w:r>
        <w:rPr>
          <w:color w:val="000000"/>
        </w:rPr>
        <w:t>Анализ динамики изменения финансовых показателей, приведенных в подпунктах 1.4.1 - 1.4.4 настоящего пункта</w:t>
      </w:r>
      <w:bookmarkEnd w:id="95"/>
      <w:bookmarkEnd w:id="96"/>
    </w:p>
    <w:p w:rsidR="00A02ECF" w:rsidRDefault="006104A2">
      <w:pPr>
        <w:jc w:val="both"/>
      </w:pPr>
      <w:bookmarkStart w:id="97" w:name="_Hlk176272546"/>
      <w:r>
        <w:t>Описываются основные события и факторы, в том числе макроэкономические, произошедшие в отчетном периоде, которые оказали существенное влияние на изменение приведенных финансовых показателей:</w:t>
      </w:r>
      <w:bookmarkEnd w:id="97"/>
    </w:p>
    <w:p w:rsidR="00A02ECF" w:rsidRDefault="006104A2">
      <w:pPr>
        <w:jc w:val="both"/>
        <w:rPr>
          <w:b/>
          <w:bCs/>
          <w:i/>
          <w:iCs/>
        </w:rPr>
      </w:pPr>
      <w:r>
        <w:rPr>
          <w:b/>
          <w:bCs/>
          <w:i/>
          <w:iCs/>
        </w:rPr>
        <w:t xml:space="preserve">Положительное влияние на финансовые результаты в отчетном периоде </w:t>
      </w:r>
      <w:r>
        <w:rPr>
          <w:b/>
          <w:bCs/>
          <w:i/>
          <w:iCs/>
          <w:color w:val="000000" w:themeColor="text1"/>
        </w:rPr>
        <w:t xml:space="preserve">оказали прибыль по курсовым разницам по финансовым операциям в связи с укреплением курса рубля по отношению к иностранным валютам и снижение операционных расходов, в том числе в связи с отменой с 2025 года дополнительного налога на добычу полезных ископаемых на газ и принятыми ПАО «Газпром» мерами по сдерживанию операционных затрат. </w:t>
      </w:r>
      <w:r>
        <w:rPr>
          <w:b/>
          <w:bCs/>
          <w:i/>
          <w:iCs/>
        </w:rPr>
        <w:t>При этом давление на финансовые показатели в отчетном периоде оказало сочетание неблагоприятных макроэкономических факторов, в том числе нисходящая динамика цен на нефть.</w:t>
      </w:r>
    </w:p>
    <w:p w:rsidR="00A02ECF" w:rsidRDefault="00A02ECF">
      <w:pPr>
        <w:pStyle w:val="aff4"/>
        <w:spacing w:before="0" w:after="0"/>
        <w:rPr>
          <w:lang w:val="ru-RU"/>
        </w:rPr>
      </w:pPr>
      <w:bookmarkStart w:id="98" w:name="_Toc230104300"/>
      <w:bookmarkStart w:id="99" w:name="_Hlk230191429"/>
    </w:p>
    <w:p w:rsidR="00A02ECF" w:rsidRDefault="006104A2">
      <w:pPr>
        <w:pStyle w:val="2"/>
        <w:rPr>
          <w:color w:val="000000"/>
        </w:rPr>
      </w:pPr>
      <w:r>
        <w:rPr>
          <w:color w:val="000000"/>
        </w:rPr>
        <w:t>1.5. Сведения об основных поставщиках эмитента</w:t>
      </w:r>
      <w:bookmarkEnd w:id="98"/>
    </w:p>
    <w:p w:rsidR="00A02ECF" w:rsidRDefault="006104A2">
      <w:pPr>
        <w:spacing w:before="120"/>
        <w:jc w:val="both"/>
        <w:rPr>
          <w:b/>
          <w:bCs/>
          <w:i/>
          <w:iCs/>
        </w:rPr>
      </w:pPr>
      <w:bookmarkStart w:id="100" w:name="_Hlk177547229"/>
      <w:r>
        <w:rPr>
          <w:b/>
          <w:bCs/>
          <w:i/>
          <w:iCs/>
        </w:rPr>
        <w:t xml:space="preserve">Информация настоящего пункта раскрывается на основе данных консолидированной финансовой отчётности. </w:t>
      </w:r>
    </w:p>
    <w:p w:rsidR="00A02ECF" w:rsidRDefault="006104A2">
      <w:pPr>
        <w:spacing w:before="120"/>
        <w:jc w:val="both"/>
        <w:rPr>
          <w:sz w:val="24"/>
          <w:szCs w:val="24"/>
        </w:rPr>
      </w:pPr>
      <w:r>
        <w:t xml:space="preserve">Дата окончания отчетного периода: </w:t>
      </w:r>
      <w:r>
        <w:rPr>
          <w:b/>
          <w:i/>
        </w:rPr>
        <w:t>31.12.2025</w:t>
      </w:r>
    </w:p>
    <w:p w:rsidR="00A02ECF" w:rsidRDefault="006104A2">
      <w:pPr>
        <w:spacing w:before="120"/>
        <w:jc w:val="both"/>
      </w:pPr>
      <w:r>
        <w:t xml:space="preserve">Доля поставок сырья и товаров (работ, услуг), приходящаяся на поставщиков, не входящих в группу эмитента (внешнегрупповые поставщики): </w:t>
      </w:r>
      <w:r>
        <w:rPr>
          <w:b/>
          <w:bCs/>
          <w:i/>
          <w:iCs/>
        </w:rPr>
        <w:t>100%</w:t>
      </w:r>
    </w:p>
    <w:p w:rsidR="00A02ECF" w:rsidRDefault="006104A2">
      <w:pPr>
        <w:spacing w:before="120"/>
        <w:jc w:val="both"/>
        <w:rPr>
          <w:strike/>
          <w:sz w:val="24"/>
          <w:szCs w:val="24"/>
        </w:rPr>
      </w:pPr>
      <w:r>
        <w:t>Уровень (количественный критерий) существенности объема и (или) доли поставок основного поставщика по операционной, инвестиционной и финансовой деятельности:</w:t>
      </w:r>
      <w:r>
        <w:rPr>
          <w:sz w:val="24"/>
          <w:szCs w:val="24"/>
        </w:rPr>
        <w:t xml:space="preserve"> </w:t>
      </w:r>
      <w:r>
        <w:rPr>
          <w:b/>
          <w:i/>
        </w:rPr>
        <w:t xml:space="preserve">10 процентов от объема поставок сырья и товаров (работ, услуг), </w:t>
      </w:r>
      <w:r>
        <w:rPr>
          <w:b/>
          <w:bCs/>
          <w:i/>
          <w:iCs/>
        </w:rPr>
        <w:t>осуществленных внешнегрупповыми поставщиками, за отчетный период.</w:t>
      </w:r>
    </w:p>
    <w:p w:rsidR="00A02ECF" w:rsidRDefault="006104A2">
      <w:pPr>
        <w:spacing w:before="120"/>
        <w:jc w:val="both"/>
        <w:rPr>
          <w:b/>
          <w:i/>
        </w:rPr>
      </w:pPr>
      <w:bookmarkStart w:id="101" w:name="_Hlk99698428"/>
      <w:r>
        <w:rPr>
          <w:b/>
          <w:i/>
        </w:rPr>
        <w:t>Внешнегрупповых поставщиков, подпадающих под определенный эмитентом уровень существенности, нет. Иных внешнегрупповых поставщиков, имеющих для группы эмитента существенное значение, нет.</w:t>
      </w:r>
      <w:bookmarkEnd w:id="100"/>
    </w:p>
    <w:p w:rsidR="00A02ECF" w:rsidRDefault="00A02ECF">
      <w:pPr>
        <w:pStyle w:val="aff4"/>
        <w:rPr>
          <w:lang w:val="ru-RU"/>
        </w:rPr>
      </w:pPr>
      <w:bookmarkStart w:id="102" w:name="_Toc230104301"/>
      <w:bookmarkEnd w:id="101"/>
    </w:p>
    <w:p w:rsidR="00A02ECF" w:rsidRDefault="006104A2">
      <w:pPr>
        <w:pStyle w:val="2"/>
        <w:spacing w:before="120"/>
        <w:rPr>
          <w:color w:val="000000"/>
        </w:rPr>
      </w:pPr>
      <w:r>
        <w:rPr>
          <w:color w:val="000000"/>
        </w:rPr>
        <w:t>1.6. Сведения об основных дебиторах эмитента</w:t>
      </w:r>
      <w:bookmarkEnd w:id="102"/>
    </w:p>
    <w:p w:rsidR="00A02ECF" w:rsidRDefault="006104A2">
      <w:pPr>
        <w:spacing w:before="120"/>
        <w:jc w:val="both"/>
        <w:rPr>
          <w:b/>
          <w:bCs/>
          <w:i/>
          <w:iCs/>
        </w:rPr>
      </w:pPr>
      <w:bookmarkStart w:id="103" w:name="_Hlk177547300"/>
      <w:r>
        <w:rPr>
          <w:b/>
          <w:bCs/>
          <w:i/>
          <w:iCs/>
        </w:rPr>
        <w:t>Информация настоящего пункта раскрывается на основе данных консолидированной финансовой отчётности.</w:t>
      </w:r>
    </w:p>
    <w:p w:rsidR="00A02ECF" w:rsidRDefault="006104A2">
      <w:pPr>
        <w:spacing w:before="120"/>
        <w:jc w:val="both"/>
        <w:rPr>
          <w:b/>
          <w:i/>
        </w:rPr>
      </w:pPr>
      <w:r>
        <w:t xml:space="preserve">Дата окончания отчетного периода: </w:t>
      </w:r>
      <w:r>
        <w:rPr>
          <w:b/>
          <w:i/>
        </w:rPr>
        <w:t>31.12.2025</w:t>
      </w:r>
    </w:p>
    <w:p w:rsidR="00A02ECF" w:rsidRDefault="006104A2">
      <w:pPr>
        <w:spacing w:before="120"/>
        <w:jc w:val="both"/>
      </w:pPr>
      <w:r>
        <w:t xml:space="preserve">Доля дебиторской задолженности, приходящаяся на дебиторов, не входящих в группу эмитента (внешнегрупповые дебиторы): </w:t>
      </w:r>
      <w:r>
        <w:rPr>
          <w:b/>
          <w:bCs/>
          <w:i/>
          <w:iCs/>
        </w:rPr>
        <w:t>100%</w:t>
      </w:r>
      <w:r>
        <w:t>.</w:t>
      </w:r>
    </w:p>
    <w:p w:rsidR="00A02ECF" w:rsidRDefault="006104A2">
      <w:pPr>
        <w:spacing w:before="120"/>
        <w:jc w:val="both"/>
        <w:rPr>
          <w:b/>
          <w:i/>
        </w:rPr>
      </w:pPr>
      <w:r>
        <w:t>Уровень существенности дебиторской задолженности, приходящейся на долю основного дебитора:</w:t>
      </w:r>
      <w:r>
        <w:rPr>
          <w:sz w:val="24"/>
          <w:szCs w:val="24"/>
        </w:rPr>
        <w:t xml:space="preserve"> </w:t>
      </w:r>
      <w:r>
        <w:rPr>
          <w:b/>
          <w:i/>
        </w:rPr>
        <w:t>10 процентов от общей суммы дебиторской задолженности, приходящейся на внешнегрупповых дебиторов, на</w:t>
      </w:r>
      <w:r>
        <w:rPr>
          <w:sz w:val="24"/>
          <w:szCs w:val="24"/>
        </w:rPr>
        <w:t xml:space="preserve"> </w:t>
      </w:r>
      <w:r>
        <w:rPr>
          <w:b/>
          <w:i/>
        </w:rPr>
        <w:t>31.12.2025</w:t>
      </w:r>
    </w:p>
    <w:bookmarkEnd w:id="103"/>
    <w:p w:rsidR="009F633F" w:rsidRDefault="009F633F" w:rsidP="009F633F">
      <w:pPr>
        <w:spacing w:before="0" w:after="0"/>
        <w:jc w:val="both"/>
        <w:rPr>
          <w:bCs/>
          <w:iCs/>
        </w:rPr>
      </w:pPr>
    </w:p>
    <w:p w:rsidR="009F633F" w:rsidRDefault="009F633F" w:rsidP="009F633F">
      <w:pPr>
        <w:spacing w:before="0" w:after="0"/>
        <w:jc w:val="both"/>
        <w:rPr>
          <w:b/>
          <w:bCs/>
          <w:iCs/>
        </w:rPr>
      </w:pPr>
      <w:r>
        <w:rPr>
          <w:b/>
          <w:bCs/>
          <w:iCs/>
        </w:rPr>
        <w:t>Информация о внешнегрупповых дебиторах, подпадающих под определенный ПАО «Газпром» уровень существенности, не раскрывается на основании пункта 6 статьи 30.1 Федерального закона «О рынке ценных бумаг».</w:t>
      </w:r>
    </w:p>
    <w:p w:rsidR="009F633F" w:rsidRDefault="009F633F" w:rsidP="009F633F">
      <w:pPr>
        <w:pStyle w:val="SubHeading"/>
        <w:spacing w:before="120"/>
        <w:jc w:val="center"/>
        <w:rPr>
          <w:b/>
          <w:i/>
        </w:rPr>
      </w:pPr>
      <w:r>
        <w:rPr>
          <w:b/>
          <w:i/>
        </w:rPr>
        <w:t>…</w:t>
      </w:r>
    </w:p>
    <w:p w:rsidR="00A02ECF" w:rsidRDefault="006104A2">
      <w:pPr>
        <w:pStyle w:val="SubHeading"/>
        <w:jc w:val="both"/>
      </w:pPr>
      <w:r>
        <w:rPr>
          <w:b/>
          <w:i/>
        </w:rPr>
        <w:t>Иных внешнегрупповых дебиторов, имеющих для группы эмитента существенное значение, нет.</w:t>
      </w:r>
    </w:p>
    <w:p w:rsidR="00A02ECF" w:rsidRDefault="00A02ECF">
      <w:pPr>
        <w:pStyle w:val="aff4"/>
        <w:spacing w:before="0" w:after="0"/>
        <w:rPr>
          <w:lang w:val="ru-RU"/>
        </w:rPr>
      </w:pPr>
      <w:bookmarkStart w:id="104" w:name="_Toc230104302"/>
    </w:p>
    <w:p w:rsidR="00A02ECF" w:rsidRDefault="00A02ECF">
      <w:pPr>
        <w:pStyle w:val="aff4"/>
        <w:spacing w:before="0" w:after="0"/>
        <w:rPr>
          <w:lang w:val="ru-RU"/>
        </w:rPr>
      </w:pPr>
    </w:p>
    <w:p w:rsidR="00A02ECF" w:rsidRDefault="006104A2">
      <w:pPr>
        <w:pStyle w:val="2"/>
        <w:spacing w:before="120"/>
        <w:rPr>
          <w:color w:val="000000"/>
        </w:rPr>
      </w:pPr>
      <w:r>
        <w:rPr>
          <w:color w:val="000000"/>
        </w:rPr>
        <w:t>1.7. Сведения об обязательствах эмитента</w:t>
      </w:r>
      <w:bookmarkEnd w:id="104"/>
    </w:p>
    <w:p w:rsidR="00A02ECF" w:rsidRDefault="006104A2">
      <w:pPr>
        <w:pStyle w:val="2"/>
        <w:rPr>
          <w:color w:val="000000"/>
        </w:rPr>
      </w:pPr>
      <w:bookmarkStart w:id="105" w:name="_Toc230104303"/>
      <w:r>
        <w:rPr>
          <w:color w:val="000000"/>
        </w:rPr>
        <w:t>1.7.1. Сведения об основных кредиторах эмитента</w:t>
      </w:r>
      <w:bookmarkEnd w:id="105"/>
    </w:p>
    <w:p w:rsidR="00A02ECF" w:rsidRDefault="006104A2">
      <w:pPr>
        <w:spacing w:before="120"/>
        <w:jc w:val="both"/>
      </w:pPr>
      <w:r>
        <w:rPr>
          <w:b/>
          <w:bCs/>
          <w:i/>
          <w:iCs/>
        </w:rPr>
        <w:t>Информация настоящего пункта раскрывается на основе данных консолидированной финансовой отчётности</w:t>
      </w:r>
      <w:r>
        <w:t xml:space="preserve">. </w:t>
      </w:r>
    </w:p>
    <w:p w:rsidR="00A02ECF" w:rsidRDefault="006104A2">
      <w:pPr>
        <w:spacing w:before="120"/>
        <w:jc w:val="both"/>
        <w:rPr>
          <w:sz w:val="24"/>
          <w:szCs w:val="24"/>
        </w:rPr>
      </w:pPr>
      <w:r>
        <w:t xml:space="preserve">Дата окончания отчетного периода: </w:t>
      </w:r>
      <w:r>
        <w:rPr>
          <w:b/>
          <w:i/>
        </w:rPr>
        <w:t>31.12.2025</w:t>
      </w:r>
    </w:p>
    <w:p w:rsidR="00A02ECF" w:rsidRDefault="006104A2">
      <w:pPr>
        <w:spacing w:before="120"/>
        <w:jc w:val="both"/>
      </w:pPr>
      <w:r>
        <w:t xml:space="preserve">Доля кредиторской задолженности, приходящаяся на кредиторов, не входящих в группу эмитента (внешнегрупповые кредиторы): </w:t>
      </w:r>
      <w:r>
        <w:rPr>
          <w:b/>
          <w:bCs/>
          <w:i/>
          <w:iCs/>
        </w:rPr>
        <w:t>100%</w:t>
      </w:r>
    </w:p>
    <w:p w:rsidR="00A02ECF" w:rsidRDefault="006104A2">
      <w:pPr>
        <w:spacing w:before="120"/>
        <w:jc w:val="both"/>
        <w:rPr>
          <w:b/>
          <w:i/>
        </w:rPr>
      </w:pPr>
      <w:r>
        <w:t>Уровень существенности кредиторской задолженности, приходящейся на долю основного кредитора:</w:t>
      </w:r>
      <w:r>
        <w:rPr>
          <w:sz w:val="24"/>
          <w:szCs w:val="24"/>
        </w:rPr>
        <w:t xml:space="preserve"> </w:t>
      </w:r>
      <w:r>
        <w:rPr>
          <w:b/>
          <w:i/>
        </w:rPr>
        <w:t>10 процентов от суммы кредиторской задолженности, приходящейся на внешнегрупповых кредиторов, на</w:t>
      </w:r>
      <w:r>
        <w:rPr>
          <w:sz w:val="24"/>
          <w:szCs w:val="24"/>
        </w:rPr>
        <w:t xml:space="preserve"> </w:t>
      </w:r>
      <w:r>
        <w:rPr>
          <w:b/>
          <w:i/>
        </w:rPr>
        <w:t>31.12.2025</w:t>
      </w:r>
    </w:p>
    <w:p w:rsidR="00A02ECF" w:rsidRDefault="00A02ECF">
      <w:pPr>
        <w:spacing w:before="0" w:after="0"/>
        <w:ind w:left="142"/>
      </w:pPr>
    </w:p>
    <w:p w:rsidR="00A02ECF" w:rsidRDefault="006104A2">
      <w:pPr>
        <w:spacing w:before="0" w:after="0"/>
        <w:jc w:val="both"/>
        <w:rPr>
          <w:b/>
          <w:i/>
        </w:rPr>
      </w:pPr>
      <w:r>
        <w:rPr>
          <w:b/>
          <w:i/>
        </w:rPr>
        <w:t>Внешнегрупповых кредиторов, подпадающих под определенный эмитентом уровень существенности, нет. Иных внешнегрупповых кредиторов, имеющих для группы эмитента существенное значение, нет.</w:t>
      </w:r>
    </w:p>
    <w:p w:rsidR="00A02ECF" w:rsidRDefault="00A02ECF">
      <w:pPr>
        <w:pStyle w:val="aff4"/>
        <w:spacing w:before="0" w:after="0"/>
        <w:rPr>
          <w:lang w:val="ru-RU"/>
        </w:rPr>
      </w:pPr>
      <w:bookmarkStart w:id="106" w:name="_Toc230104304"/>
    </w:p>
    <w:p w:rsidR="00A02ECF" w:rsidRDefault="006104A2">
      <w:pPr>
        <w:pStyle w:val="2"/>
        <w:rPr>
          <w:color w:val="000000"/>
        </w:rPr>
      </w:pPr>
      <w:r>
        <w:rPr>
          <w:color w:val="000000"/>
        </w:rPr>
        <w:t xml:space="preserve">1.7.2. </w:t>
      </w:r>
      <w:bookmarkStart w:id="107" w:name="_Hlk176349666"/>
      <w:r>
        <w:rPr>
          <w:color w:val="000000"/>
        </w:rPr>
        <w:t>Сведения об обязательствах эмитента из предоставленного обеспечения</w:t>
      </w:r>
      <w:bookmarkEnd w:id="106"/>
      <w:bookmarkEnd w:id="107"/>
    </w:p>
    <w:p w:rsidR="00A02ECF" w:rsidRDefault="006104A2">
      <w:pPr>
        <w:spacing w:before="40"/>
        <w:jc w:val="both"/>
      </w:pPr>
      <w:r>
        <w:rPr>
          <w:b/>
          <w:bCs/>
          <w:i/>
          <w:iCs/>
        </w:rPr>
        <w:t>Информация настоящего пункта раскрывается на основе данных консолидированной финансовой отчётности.</w:t>
      </w:r>
    </w:p>
    <w:p w:rsidR="00A02ECF" w:rsidRDefault="006104A2">
      <w:pPr>
        <w:spacing w:before="40"/>
        <w:jc w:val="both"/>
      </w:pPr>
      <w:r>
        <w:t xml:space="preserve">Дата окончания отчетного периода: </w:t>
      </w:r>
      <w:r>
        <w:rPr>
          <w:b/>
          <w:i/>
        </w:rPr>
        <w:t>31.12.2025</w:t>
      </w:r>
    </w:p>
    <w:p w:rsidR="00A02ECF" w:rsidRDefault="00A02ECF"/>
    <w:p w:rsidR="00A02ECF" w:rsidRDefault="006104A2">
      <w:pPr>
        <w:rPr>
          <w:b/>
          <w:bCs/>
          <w:i/>
          <w:iCs/>
        </w:rPr>
      </w:pPr>
      <w:r>
        <w:t xml:space="preserve">Доля обеспечения, предоставленного лицами, входящими в группу эмитента, лицам, не входящим в группу эмитента: </w:t>
      </w:r>
      <w:r>
        <w:rPr>
          <w:b/>
          <w:bCs/>
          <w:i/>
          <w:iCs/>
        </w:rPr>
        <w:t>100%</w:t>
      </w:r>
    </w:p>
    <w:p w:rsidR="00A02ECF" w:rsidRDefault="006104A2">
      <w:pPr>
        <w:spacing w:before="120"/>
        <w:jc w:val="both"/>
        <w:rPr>
          <w:rStyle w:val="Subst"/>
        </w:rPr>
      </w:pPr>
      <w:bookmarkStart w:id="108" w:name="_Hlk176273415"/>
      <w:r>
        <w:t xml:space="preserve">Размер обеспечения, предоставленного лицами, входящими в группу эмитента, лицам, не входящим в группу эмитента: </w:t>
      </w:r>
      <w:r>
        <w:rPr>
          <w:b/>
          <w:i/>
          <w:iCs/>
        </w:rPr>
        <w:t>1 919 291</w:t>
      </w:r>
      <w:r>
        <w:rPr>
          <w:b/>
          <w:i/>
        </w:rPr>
        <w:t xml:space="preserve"> </w:t>
      </w:r>
      <w:r>
        <w:rPr>
          <w:rStyle w:val="Subst"/>
        </w:rPr>
        <w:t>млн руб.</w:t>
      </w:r>
      <w:bookmarkEnd w:id="108"/>
    </w:p>
    <w:p w:rsidR="00A02ECF" w:rsidRDefault="006104A2">
      <w:pPr>
        <w:spacing w:before="120"/>
        <w:jc w:val="both"/>
        <w:rPr>
          <w:b/>
          <w:i/>
        </w:rPr>
      </w:pPr>
      <w:r>
        <w:t xml:space="preserve">Уровень существенности размера предоставленного обеспечения: </w:t>
      </w:r>
      <w:r>
        <w:rPr>
          <w:b/>
          <w:i/>
        </w:rPr>
        <w:t>10 процентов от размера предоставленного обеспечения на 31.12.2025.</w:t>
      </w:r>
    </w:p>
    <w:p w:rsidR="00A02ECF" w:rsidRDefault="006104A2">
      <w:pPr>
        <w:pStyle w:val="SubHeading"/>
        <w:jc w:val="both"/>
      </w:pPr>
      <w:r>
        <w:t xml:space="preserve">Информация о совершенных организациями группы эмитента в отчетном периоде сделках по предоставлению обеспечения, имеющих для группы эмитента существенное значение: </w:t>
      </w:r>
    </w:p>
    <w:p w:rsidR="00A02ECF" w:rsidRDefault="00747179" w:rsidP="00747179">
      <w:pPr>
        <w:pStyle w:val="SubHeading"/>
        <w:jc w:val="both"/>
        <w:rPr>
          <w:b/>
          <w:i/>
        </w:rPr>
      </w:pPr>
      <w:r w:rsidRPr="00747179">
        <w:rPr>
          <w:b/>
          <w:i/>
        </w:rPr>
        <w:t>Сделки по предоставлению обеспечения, имеющие для группы эмитента существенное значение, в отчетном периоде не совершались.</w:t>
      </w:r>
    </w:p>
    <w:p w:rsidR="00747179" w:rsidRPr="00747179" w:rsidRDefault="00747179" w:rsidP="00747179">
      <w:pPr>
        <w:pStyle w:val="SubHeading"/>
        <w:spacing w:before="0" w:after="0"/>
        <w:jc w:val="both"/>
        <w:rPr>
          <w:b/>
          <w:i/>
        </w:rPr>
      </w:pPr>
    </w:p>
    <w:p w:rsidR="00A02ECF" w:rsidRDefault="006104A2">
      <w:pPr>
        <w:pStyle w:val="2"/>
        <w:rPr>
          <w:color w:val="000000"/>
        </w:rPr>
      </w:pPr>
      <w:bookmarkStart w:id="109" w:name="_Toc230104305"/>
      <w:r>
        <w:rPr>
          <w:color w:val="000000"/>
        </w:rPr>
        <w:t>1.7.3. Сведения о прочих существенных обязательствах эмитента</w:t>
      </w:r>
      <w:bookmarkEnd w:id="109"/>
    </w:p>
    <w:p w:rsidR="00A02ECF" w:rsidRDefault="006104A2">
      <w:pPr>
        <w:spacing w:before="120"/>
        <w:jc w:val="both"/>
        <w:rPr>
          <w:b/>
          <w:bCs/>
          <w:i/>
          <w:iCs/>
        </w:rPr>
      </w:pPr>
      <w:bookmarkStart w:id="110" w:name="_Hlk169537339"/>
      <w:r>
        <w:rPr>
          <w:b/>
          <w:bCs/>
          <w:i/>
          <w:iCs/>
        </w:rPr>
        <w:t>Информация настоящего пункта раскрывается на основе данных консолидированной финансовой отчётности.</w:t>
      </w:r>
    </w:p>
    <w:p w:rsidR="00A02ECF" w:rsidRDefault="006104A2">
      <w:pPr>
        <w:spacing w:before="120"/>
        <w:jc w:val="both"/>
      </w:pPr>
      <w:r>
        <w:t xml:space="preserve">Дата окончания отчетного периода: </w:t>
      </w:r>
      <w:r>
        <w:rPr>
          <w:b/>
          <w:i/>
        </w:rPr>
        <w:t>31.12.2025</w:t>
      </w:r>
    </w:p>
    <w:p w:rsidR="00A02ECF" w:rsidRDefault="006104A2">
      <w:pPr>
        <w:spacing w:before="120"/>
        <w:jc w:val="both"/>
        <w:rPr>
          <w:rStyle w:val="Subst"/>
        </w:rPr>
      </w:pPr>
      <w:r>
        <w:rPr>
          <w:rStyle w:val="Subst"/>
        </w:rPr>
        <w:t>Прочих обязательств, которые могут существенным образом воздействовать на финансовое положение группы эмитента, в том числе на ликвидность, источники финансирования и условия их использования, результаты деятельности и расходы, не имеется.</w:t>
      </w:r>
    </w:p>
    <w:p w:rsidR="00A02ECF" w:rsidRDefault="00A02ECF">
      <w:pPr>
        <w:spacing w:before="120"/>
        <w:jc w:val="both"/>
        <w:rPr>
          <w:rStyle w:val="Subst"/>
        </w:rPr>
      </w:pPr>
    </w:p>
    <w:p w:rsidR="00A02ECF" w:rsidRDefault="006104A2">
      <w:pPr>
        <w:pStyle w:val="2"/>
        <w:keepNext/>
        <w:rPr>
          <w:color w:val="000000"/>
        </w:rPr>
      </w:pPr>
      <w:bookmarkStart w:id="111" w:name="_Toc230104306"/>
      <w:bookmarkStart w:id="112" w:name="_Hlk219727459"/>
      <w:bookmarkStart w:id="113" w:name="_Hlk229748813"/>
      <w:bookmarkEnd w:id="99"/>
      <w:bookmarkEnd w:id="110"/>
      <w:r>
        <w:rPr>
          <w:color w:val="000000"/>
        </w:rPr>
        <w:lastRenderedPageBreak/>
        <w:t>1.8. Сведения о перспективах развития эмитента</w:t>
      </w:r>
      <w:bookmarkEnd w:id="111"/>
    </w:p>
    <w:p w:rsidR="00A02ECF" w:rsidRDefault="006104A2">
      <w:pPr>
        <w:spacing w:before="120"/>
        <w:jc w:val="both"/>
        <w:rPr>
          <w:b/>
          <w:iCs/>
          <w:sz w:val="22"/>
          <w:szCs w:val="22"/>
          <w:u w:val="single"/>
        </w:rPr>
      </w:pPr>
      <w:bookmarkStart w:id="114" w:name="_Hlk103515135"/>
      <w:r>
        <w:rPr>
          <w:b/>
          <w:iCs/>
          <w:sz w:val="22"/>
          <w:szCs w:val="22"/>
          <w:u w:val="single"/>
        </w:rPr>
        <w:t>Стратегия развития в газовом, нефтяном и электроэнергетическом видах бизнеса</w:t>
      </w:r>
    </w:p>
    <w:p w:rsidR="00A02ECF" w:rsidRDefault="006104A2">
      <w:pPr>
        <w:spacing w:before="120"/>
        <w:jc w:val="both"/>
        <w:rPr>
          <w:b/>
          <w:i/>
        </w:rPr>
      </w:pPr>
      <w:bookmarkStart w:id="115" w:name="_Hlk198023436"/>
      <w:bookmarkEnd w:id="112"/>
      <w:bookmarkEnd w:id="114"/>
      <w:r>
        <w:rPr>
          <w:b/>
          <w:i/>
        </w:rPr>
        <w:t>Стратегической целью Группы Газпром является укрепление статуса лидера среди глобальных энергетических компаний посредством диверсификации рынков сбыта, обеспечения энергетической безопасности и устойчивого развития, роста эффективности деятельности, использования научно-технического потенциала.</w:t>
      </w:r>
    </w:p>
    <w:p w:rsidR="00A02ECF" w:rsidRDefault="00A02ECF">
      <w:pPr>
        <w:rPr>
          <w:b/>
          <w:bCs/>
          <w:u w:val="single"/>
        </w:rPr>
      </w:pPr>
    </w:p>
    <w:p w:rsidR="00A02ECF" w:rsidRDefault="006104A2">
      <w:pPr>
        <w:rPr>
          <w:b/>
          <w:bCs/>
          <w:u w:val="single"/>
        </w:rPr>
      </w:pPr>
      <w:r>
        <w:rPr>
          <w:b/>
          <w:bCs/>
          <w:u w:val="single"/>
        </w:rPr>
        <w:t>Геологоразведка и добыча</w:t>
      </w:r>
    </w:p>
    <w:p w:rsidR="00A02ECF" w:rsidRDefault="006104A2">
      <w:pPr>
        <w:spacing w:before="120"/>
        <w:jc w:val="both"/>
        <w:rPr>
          <w:b/>
          <w:i/>
        </w:rPr>
      </w:pPr>
      <w:bookmarkStart w:id="116" w:name="_Hlk182817578"/>
      <w:bookmarkStart w:id="117" w:name="_Hlk185337047"/>
      <w:bookmarkStart w:id="118" w:name="_Hlk198023417"/>
      <w:bookmarkStart w:id="119" w:name="_Hlk194913428"/>
      <w:bookmarkEnd w:id="115"/>
      <w:r>
        <w:rPr>
          <w:b/>
          <w:i/>
        </w:rPr>
        <w:t xml:space="preserve">Задачи обеспечения необходимых уровней добычи газа в среднесрочной перспективе будут решаться за счет эксплуатации действующих месторождений. </w:t>
      </w:r>
    </w:p>
    <w:p w:rsidR="00A02ECF" w:rsidRDefault="006104A2">
      <w:pPr>
        <w:spacing w:before="120"/>
        <w:jc w:val="both"/>
        <w:rPr>
          <w:b/>
          <w:i/>
        </w:rPr>
      </w:pPr>
      <w:r>
        <w:rPr>
          <w:b/>
          <w:i/>
        </w:rPr>
        <w:t>Приоритетным направлением деятельности Группы Газпром будет являться освоение газовых ресурсов Восточной Сибири и Дальнего Востока, полуострова Ямал, акваторий Обской и Тазовской губ, шельфа Охотского моря, потенциал которых позволяет сформировать ряд крупных газодобывающих центров.</w:t>
      </w:r>
    </w:p>
    <w:p w:rsidR="00A02ECF" w:rsidRDefault="006104A2">
      <w:pPr>
        <w:spacing w:before="120"/>
        <w:jc w:val="both"/>
        <w:rPr>
          <w:b/>
          <w:i/>
        </w:rPr>
      </w:pPr>
      <w:r>
        <w:rPr>
          <w:b/>
          <w:i/>
        </w:rPr>
        <w:t>Геолого-разведочные работы, проводимые собственными силами Группы Газпром, будут направлены на</w:t>
      </w:r>
      <w:r>
        <w:rPr>
          <w:b/>
          <w:i/>
          <w:lang w:val="en-US"/>
        </w:rPr>
        <w:t> </w:t>
      </w:r>
      <w:r>
        <w:rPr>
          <w:b/>
          <w:i/>
        </w:rPr>
        <w:t>дальнейшее развитие минерально-сырьевой базы в основных газодобывающих регионах, расположенных преимущественно в Арктической зоне Российской Федерации, и ее формирование в Восточной Сибири и на Дальнем Востоке. Геолого-разведочные работы будут сосредоточены в Надым-Пур-Тазовском регионе (включая акваторию Обской и Тазовской губ), на полуострове Ямал, акваториях Баренцева, Печорского и</w:t>
      </w:r>
      <w:r>
        <w:rPr>
          <w:b/>
          <w:i/>
          <w:lang w:val="en-US"/>
        </w:rPr>
        <w:t> </w:t>
      </w:r>
      <w:r>
        <w:rPr>
          <w:b/>
          <w:i/>
        </w:rPr>
        <w:t xml:space="preserve">Карского морей, Республике Саха (Якутия), Иркутской области, на шельфе острова Сахалин, в других районах с последующим получением лицензий на разработку открываемых месторождений. В 2025 году благодаря геологоразведке Группа Газпром, как и прежде, достигла одного из ключевых стратегических целевых показателей по газовому бизнесу – обеспечила прирост запасов газа над объемами добычи. Таким образом, коэффициент восполнения запасов уже 21 год подряд превышает единицу. </w:t>
      </w:r>
    </w:p>
    <w:p w:rsidR="00A02ECF" w:rsidRDefault="006104A2">
      <w:pPr>
        <w:spacing w:before="120"/>
        <w:jc w:val="both"/>
        <w:rPr>
          <w:b/>
          <w:i/>
        </w:rPr>
      </w:pPr>
      <w:r>
        <w:rPr>
          <w:b/>
          <w:i/>
        </w:rPr>
        <w:t>Группа Газпром продолжает повышать эффективность геологоразведки. Для этого последовательно внедряются передовые российские технологии.</w:t>
      </w:r>
      <w:bookmarkEnd w:id="116"/>
      <w:bookmarkEnd w:id="117"/>
    </w:p>
    <w:p w:rsidR="00A02ECF" w:rsidRDefault="006104A2">
      <w:pPr>
        <w:spacing w:before="120"/>
        <w:jc w:val="both"/>
        <w:rPr>
          <w:b/>
          <w:i/>
        </w:rPr>
      </w:pPr>
      <w:r>
        <w:rPr>
          <w:b/>
          <w:i/>
        </w:rPr>
        <w:t>Распоряжением Правительства Российской Федерации от 16 июля 2002 г. № 975-р ПАО «Газпром» назначено координатором деятельности по реализации «Программы создания в Восточной Сибири и на Дальнем Востоке единой системы добычи, транспортировки газа и газоснабжения с учетом возможного экспорта газа на рынки Китая и других стран АТР» (Восточная газовая программа).</w:t>
      </w:r>
      <w:bookmarkEnd w:id="118"/>
    </w:p>
    <w:p w:rsidR="00A02ECF" w:rsidRDefault="006104A2">
      <w:pPr>
        <w:spacing w:before="120"/>
        <w:jc w:val="both"/>
        <w:rPr>
          <w:b/>
          <w:i/>
        </w:rPr>
      </w:pPr>
      <w:r>
        <w:rPr>
          <w:b/>
          <w:i/>
        </w:rPr>
        <w:t>Восточная газовая программа предполагает формирование в России четырех крупных газодобывающих центров – Сахалинский, Якутский, Иркутский и Красноярский.</w:t>
      </w:r>
    </w:p>
    <w:p w:rsidR="00A02ECF" w:rsidRDefault="006104A2">
      <w:pPr>
        <w:spacing w:before="120"/>
        <w:jc w:val="both"/>
        <w:rPr>
          <w:b/>
          <w:i/>
        </w:rPr>
      </w:pPr>
      <w:r>
        <w:rPr>
          <w:b/>
          <w:i/>
        </w:rPr>
        <w:t xml:space="preserve">В настоящее время ведется поэтапное развитие Сахалинского, Якутского и Иркутского центров газодобычи, а также добыча газа в Камчатском крае. </w:t>
      </w:r>
    </w:p>
    <w:p w:rsidR="00A02ECF" w:rsidRDefault="006104A2">
      <w:pPr>
        <w:spacing w:before="120"/>
        <w:jc w:val="both"/>
        <w:rPr>
          <w:b/>
          <w:i/>
        </w:rPr>
      </w:pPr>
      <w:r>
        <w:rPr>
          <w:b/>
          <w:i/>
        </w:rPr>
        <w:t xml:space="preserve">Базовым для создания Якутского центра газодобычи является Чаяндинское нефтегазоконденсатное месторождение.  </w:t>
      </w:r>
    </w:p>
    <w:p w:rsidR="00A02ECF" w:rsidRDefault="006104A2">
      <w:pPr>
        <w:spacing w:before="120"/>
        <w:jc w:val="both"/>
        <w:rPr>
          <w:b/>
          <w:i/>
          <w:strike/>
          <w:color w:val="FF0000"/>
        </w:rPr>
      </w:pPr>
      <w:r>
        <w:rPr>
          <w:b/>
          <w:i/>
        </w:rPr>
        <w:t xml:space="preserve">В Якутии организации Группы Газпром также принадлежат лицензии на Соболох-Неджелинское, Верхневилючанское, Тас-Юряхское и Среднетюнгское месторождения. </w:t>
      </w:r>
    </w:p>
    <w:p w:rsidR="00A02ECF" w:rsidRDefault="006104A2">
      <w:pPr>
        <w:spacing w:before="120"/>
        <w:jc w:val="both"/>
        <w:rPr>
          <w:b/>
          <w:i/>
        </w:rPr>
      </w:pPr>
      <w:r>
        <w:rPr>
          <w:b/>
          <w:i/>
        </w:rPr>
        <w:t>Базовым месторождением Иркутского центра газодобычи является Ковыктинское газоконденсатное месторождение, которое находится на Ковыктинском, Хандинском, Чиканском лицензионных участках.</w:t>
      </w:r>
    </w:p>
    <w:p w:rsidR="00A02ECF" w:rsidRDefault="006104A2">
      <w:pPr>
        <w:spacing w:before="120"/>
        <w:jc w:val="both"/>
        <w:rPr>
          <w:b/>
          <w:i/>
        </w:rPr>
      </w:pPr>
      <w:r>
        <w:rPr>
          <w:b/>
          <w:i/>
        </w:rPr>
        <w:t>Проект «Сахалин-2», включающий разработку Пильтун-Астохского и Лунского месторождений на сновании Соглашения о разделе продукции, реализуется компанией ООО «Сахалинская Энергия». В феврале 2009 года в рамках данного проекта состоялся пуск первого в России завода по производству сжиженного газа.</w:t>
      </w:r>
    </w:p>
    <w:p w:rsidR="00A02ECF" w:rsidRDefault="006104A2">
      <w:pPr>
        <w:spacing w:before="120"/>
        <w:jc w:val="both"/>
        <w:rPr>
          <w:b/>
          <w:i/>
        </w:rPr>
      </w:pPr>
      <w:r>
        <w:rPr>
          <w:b/>
          <w:i/>
        </w:rPr>
        <w:t>В рамках проекта «Сахалин-3» Группа Газпром работает на четырех лицензионных участках: Киринском, Киринском блоке, Восточно-Одоптинском и Аяшском.</w:t>
      </w:r>
    </w:p>
    <w:p w:rsidR="00A02ECF" w:rsidRDefault="006104A2">
      <w:pPr>
        <w:spacing w:before="120"/>
        <w:jc w:val="both"/>
        <w:rPr>
          <w:b/>
          <w:i/>
        </w:rPr>
      </w:pPr>
      <w:r>
        <w:rPr>
          <w:b/>
          <w:i/>
        </w:rPr>
        <w:t xml:space="preserve">Первоочередными объектами работ на шельфе Сахалина являются Киринское газоконденсатное месторождение и лицензионный участок Киринский блок, в пределах которого открыты три месторождения. </w:t>
      </w:r>
    </w:p>
    <w:p w:rsidR="00A02ECF" w:rsidRDefault="006104A2">
      <w:pPr>
        <w:spacing w:before="120"/>
        <w:jc w:val="both"/>
        <w:rPr>
          <w:b/>
          <w:i/>
        </w:rPr>
      </w:pPr>
      <w:r>
        <w:rPr>
          <w:b/>
          <w:i/>
        </w:rPr>
        <w:t>Кроме того, компании Группы участвуют в проектах в области геологоразведки и добычи газа в других странах мира.</w:t>
      </w:r>
    </w:p>
    <w:p w:rsidR="00A02ECF" w:rsidRDefault="006104A2">
      <w:pPr>
        <w:spacing w:before="120"/>
        <w:jc w:val="both"/>
        <w:rPr>
          <w:b/>
          <w:i/>
        </w:rPr>
      </w:pPr>
      <w:bookmarkStart w:id="120" w:name="_Hlk226380030"/>
      <w:bookmarkEnd w:id="119"/>
      <w:r>
        <w:rPr>
          <w:b/>
          <w:i/>
        </w:rPr>
        <w:lastRenderedPageBreak/>
        <w:t>В разведке и добыче нефти</w:t>
      </w:r>
      <w:r>
        <w:rPr>
          <w:b/>
          <w:i/>
          <w:sz w:val="22"/>
          <w:szCs w:val="22"/>
        </w:rPr>
        <w:t xml:space="preserve"> </w:t>
      </w:r>
      <w:r>
        <w:rPr>
          <w:b/>
          <w:i/>
        </w:rPr>
        <w:t>компании Группы Газпром продолжают разработку зрелой ресурсной базы и осваивают новые регионы добычи. Возможности развития в этой области сгруппированы в несколько стратегических направлений:</w:t>
      </w:r>
    </w:p>
    <w:p w:rsidR="00A02ECF" w:rsidRDefault="006104A2">
      <w:pPr>
        <w:jc w:val="both"/>
        <w:rPr>
          <w:b/>
          <w:i/>
        </w:rPr>
      </w:pPr>
      <w:r>
        <w:rPr>
          <w:b/>
          <w:i/>
        </w:rPr>
        <w:t>1. повышение коэффициента нефтеотдачи с использованием третичных методов и вовлечение в разработку трудноизвлекаемых запасов за счет применения современных технологических решений на зрелых месторождениях в ЯНАО (на п-ове Ямал, в Надым-Пур-Тазовском регионе), ХМАО, Оренбургской и Томской областях;</w:t>
      </w:r>
    </w:p>
    <w:p w:rsidR="00A02ECF" w:rsidRDefault="006104A2">
      <w:pPr>
        <w:jc w:val="both"/>
        <w:rPr>
          <w:b/>
          <w:i/>
        </w:rPr>
      </w:pPr>
      <w:r>
        <w:rPr>
          <w:b/>
          <w:i/>
        </w:rPr>
        <w:t>2. создание новых кластеров добычи вокруг якорных активов Группы Газпром в Восточной Сибири, а также на суше и шельфе Арктической зоны.</w:t>
      </w:r>
      <w:bookmarkEnd w:id="120"/>
    </w:p>
    <w:p w:rsidR="00A02ECF" w:rsidRDefault="00A02ECF"/>
    <w:p w:rsidR="00A02ECF" w:rsidRDefault="00A02ECF"/>
    <w:p w:rsidR="00A02ECF" w:rsidRDefault="00A02ECF"/>
    <w:p w:rsidR="00A02ECF" w:rsidRDefault="006104A2">
      <w:pPr>
        <w:rPr>
          <w:b/>
          <w:bCs/>
          <w:u w:val="single"/>
        </w:rPr>
      </w:pPr>
      <w:bookmarkStart w:id="121" w:name="_Hlk103594052"/>
      <w:bookmarkStart w:id="122" w:name="_Hlk198027907"/>
      <w:r>
        <w:rPr>
          <w:b/>
          <w:bCs/>
          <w:u w:val="single"/>
        </w:rPr>
        <w:t xml:space="preserve">Транспортировка и хранение </w:t>
      </w:r>
      <w:bookmarkEnd w:id="121"/>
    </w:p>
    <w:p w:rsidR="00A02ECF" w:rsidRDefault="006104A2">
      <w:pPr>
        <w:spacing w:before="120"/>
        <w:jc w:val="both"/>
        <w:rPr>
          <w:b/>
          <w:i/>
        </w:rPr>
      </w:pPr>
      <w:bookmarkStart w:id="123" w:name="_Hlk163734364"/>
      <w:bookmarkEnd w:id="122"/>
      <w:r>
        <w:rPr>
          <w:b/>
          <w:i/>
        </w:rPr>
        <w:t>Надежность транспортировки газа в России и за рубежом является приоритетной целью Группы Газпром в сегменте транспортировки газа.</w:t>
      </w:r>
    </w:p>
    <w:p w:rsidR="00A02ECF" w:rsidRDefault="006104A2">
      <w:pPr>
        <w:spacing w:before="120"/>
        <w:jc w:val="both"/>
        <w:rPr>
          <w:b/>
          <w:bCs/>
          <w:i/>
        </w:rPr>
      </w:pPr>
      <w:r>
        <w:rPr>
          <w:b/>
          <w:i/>
        </w:rPr>
        <w:t xml:space="preserve">В целях обеспечения поставок газа из новых регионов газодобычи, надёжности газоснабжения российских потребителей и для выполнения контрактных экспортных обязательств, Группа Газпром осуществляет реализацию проектов по реконструкции действующих и развитию новых газотранспортных мощностей. Порядок ввода новых мощностей в транспортировке газа на долгосрочную перспективу определяется с учетом прогнозируемых сроков их эффективной загрузки, обеспечения оптимальной производительности действующей ГТС и диверсификации экспортных маршрутов. </w:t>
      </w:r>
    </w:p>
    <w:p w:rsidR="00A02ECF" w:rsidRDefault="006104A2">
      <w:pPr>
        <w:spacing w:before="120"/>
        <w:jc w:val="both"/>
        <w:rPr>
          <w:b/>
          <w:i/>
        </w:rPr>
      </w:pPr>
      <w:r>
        <w:rPr>
          <w:b/>
          <w:i/>
        </w:rPr>
        <w:t xml:space="preserve">Среди долгосрочных задач Группы Газпром – дальнейшее развитие газовой инфраструктуры в Восточной Сибири и на Дальнем Востоке. </w:t>
      </w:r>
    </w:p>
    <w:p w:rsidR="00A02ECF" w:rsidRDefault="006104A2">
      <w:pPr>
        <w:spacing w:before="120"/>
        <w:jc w:val="both"/>
        <w:rPr>
          <w:b/>
          <w:i/>
        </w:rPr>
      </w:pPr>
      <w:r>
        <w:rPr>
          <w:b/>
          <w:i/>
        </w:rPr>
        <w:t xml:space="preserve">Осуществляется расширение мощностей газопровода «Сахалин-Хабаровск-Владивосток» для транспортировки газа потребителям Хабаровского и Приморского краев. Кроме того, в 2024 году ПАО «Газпром» приступило к реализации проекта «Система магистральных газопроводов «Восточная система газоснабжения». Реализуется первый этап проекта – строительство участка Белогорск – Хабаровск, который предусматривает соединение газопроводов «Сила Сибири» и Сахалин – Хабаровск – Владивосток. Комплексное развитие газотранспортных мощностей на Востоке России и их дальнейшее объединение с инфраструктурой в европейской части страны обеспечит дополнительную надежность и гибкость поставок газа отечественным потребителям. В 2025 году ПАО «Газпром» проводило проектно-изыскательские работы на очередном участке проекта «Система магистральных газопроводов «Восточная система газоснабжения» – между компрессорными станциями «Аганская» и «Александровская». Участок соединит действующие магистральные газопроводы, проходящие по Ханты-Мансийскому автономному округу — Югре и Томской области. </w:t>
      </w:r>
    </w:p>
    <w:p w:rsidR="00A02ECF" w:rsidRDefault="006104A2">
      <w:pPr>
        <w:spacing w:before="120"/>
        <w:jc w:val="both"/>
        <w:rPr>
          <w:b/>
          <w:i/>
        </w:rPr>
      </w:pPr>
      <w:r>
        <w:rPr>
          <w:b/>
          <w:i/>
        </w:rPr>
        <w:t xml:space="preserve">Группа также ведет работу по реализации проекта поставок газа в Китай по «дальневосточному» маршруту. </w:t>
      </w:r>
      <w:bookmarkEnd w:id="123"/>
    </w:p>
    <w:p w:rsidR="00A02ECF" w:rsidRDefault="006104A2">
      <w:pPr>
        <w:spacing w:before="120"/>
        <w:jc w:val="both"/>
        <w:rPr>
          <w:b/>
          <w:bCs/>
          <w:i/>
          <w:iCs/>
          <w:color w:val="FF0000"/>
        </w:rPr>
      </w:pPr>
      <w:r>
        <w:rPr>
          <w:b/>
          <w:i/>
        </w:rPr>
        <w:t>Стратегической задачей Группы Газпром в области хранения газа в России является: о</w:t>
      </w:r>
      <w:r>
        <w:rPr>
          <w:rFonts w:eastAsiaTheme="minorHAnsi" w:cstheme="minorBidi"/>
          <w:b/>
          <w:bCs/>
          <w:i/>
          <w:iCs/>
          <w:szCs w:val="22"/>
          <w:lang w:eastAsia="en-US"/>
        </w:rPr>
        <w:t xml:space="preserve">беспечение </w:t>
      </w:r>
      <w:r>
        <w:rPr>
          <w:rFonts w:eastAsiaTheme="minorHAnsi" w:cstheme="minorBidi"/>
          <w:b/>
          <w:bCs/>
          <w:i/>
          <w:iCs/>
          <w:color w:val="000000" w:themeColor="text1"/>
          <w:szCs w:val="22"/>
          <w:lang w:eastAsia="en-US"/>
        </w:rPr>
        <w:t>эффективности газового бизнеса; обеспечение надежности поставок газа потребителям; обеспечение функционирования и развития ЕСГ и других газопроводных систем с учетом пиковых режимов потребления природного газа; развитие газового бизнеса на зарубежных рынках; инновационное развитие с целью постоянного повышения уровня технологического и организационного развития газового бизнеса, включая реализацию политики импортозамещения.</w:t>
      </w:r>
    </w:p>
    <w:p w:rsidR="00A02ECF" w:rsidRDefault="006104A2">
      <w:pPr>
        <w:spacing w:before="120"/>
        <w:jc w:val="both"/>
        <w:rPr>
          <w:b/>
          <w:bCs/>
          <w:i/>
          <w:iCs/>
        </w:rPr>
      </w:pPr>
      <w:r>
        <w:rPr>
          <w:b/>
          <w:i/>
        </w:rPr>
        <w:t xml:space="preserve">Стратегия развития мощностей ПХГ предполагает: (1) поддержание достигнутого уровня мощностей ПХГ за счет проведения реконструкции и замещения морально и физически устаревших основных фондов, а также расшивки «узких мест» в ПХГ и ГТС; (2) повышение гибкости системы ЕСГ Российской Федерации за счет развития системы ПХГ (3) </w:t>
      </w:r>
      <w:r>
        <w:rPr>
          <w:rFonts w:eastAsia="Aptos"/>
          <w:b/>
          <w:bCs/>
          <w:i/>
          <w:iCs/>
        </w:rPr>
        <w:t>Создание хранилищ в регионах, имеющих дефицит объемов резервирования газа</w:t>
      </w:r>
      <w:r>
        <w:rPr>
          <w:b/>
          <w:bCs/>
          <w:i/>
          <w:iCs/>
        </w:rPr>
        <w:t>.</w:t>
      </w:r>
    </w:p>
    <w:p w:rsidR="00A02ECF" w:rsidRDefault="006104A2">
      <w:pPr>
        <w:spacing w:before="120"/>
        <w:jc w:val="both"/>
        <w:rPr>
          <w:b/>
          <w:i/>
        </w:rPr>
      </w:pPr>
      <w:r>
        <w:rPr>
          <w:b/>
          <w:i/>
        </w:rPr>
        <w:t>Приоритетными проектами, осуществляемыми в настоящее время в России, являются: (1) расширение действующих подземных газохранилищ (Калининградского, Волгоградского); (2) геологическое изучение ряда перспективных площадей для целей ПХГ в Томской, Новосибирской, Амурской областях и Хабаровском крае; (3) геологоразведочные работы для изучения возможности создания газохранилищ различного типа на Дальнем Востоке (г. Белогорск, г. Хабаровск).</w:t>
      </w:r>
    </w:p>
    <w:p w:rsidR="00A02ECF" w:rsidRDefault="00A02ECF">
      <w:pPr>
        <w:pStyle w:val="aff4"/>
        <w:spacing w:after="0"/>
        <w:ind w:left="0"/>
        <w:rPr>
          <w:b/>
          <w:lang w:val="ru-RU"/>
        </w:rPr>
      </w:pPr>
    </w:p>
    <w:p w:rsidR="00A02ECF" w:rsidRDefault="006104A2">
      <w:pPr>
        <w:rPr>
          <w:b/>
          <w:bCs/>
          <w:u w:val="single"/>
        </w:rPr>
      </w:pPr>
      <w:bookmarkStart w:id="124" w:name="_Hlk198801469"/>
      <w:r>
        <w:rPr>
          <w:b/>
          <w:bCs/>
          <w:u w:val="single"/>
        </w:rPr>
        <w:lastRenderedPageBreak/>
        <w:t>Переработка</w:t>
      </w:r>
    </w:p>
    <w:p w:rsidR="00A02ECF" w:rsidRDefault="006104A2">
      <w:pPr>
        <w:jc w:val="both"/>
        <w:rPr>
          <w:b/>
          <w:bCs/>
          <w:i/>
          <w:iCs/>
        </w:rPr>
      </w:pPr>
      <w:bookmarkStart w:id="125" w:name="_Hlk183000383"/>
      <w:bookmarkEnd w:id="124"/>
      <w:r>
        <w:rPr>
          <w:b/>
          <w:bCs/>
          <w:i/>
          <w:iCs/>
        </w:rPr>
        <w:t>Основной целью деятельности в области переработки газа- и нефтехимии является увеличение степени извлечения и эффективное использование ценных компонентов добываемого углеводородного сырья, включая попутный нефтяной газ (ПНГ), для дальнейшей переработки в продукцию с высокой добавленной стоимостью.</w:t>
      </w:r>
    </w:p>
    <w:p w:rsidR="00A02ECF" w:rsidRDefault="006104A2">
      <w:pPr>
        <w:spacing w:before="120"/>
        <w:jc w:val="both"/>
        <w:rPr>
          <w:b/>
          <w:bCs/>
          <w:i/>
          <w:iCs/>
        </w:rPr>
      </w:pPr>
      <w:r>
        <w:rPr>
          <w:b/>
          <w:bCs/>
          <w:i/>
          <w:iCs/>
        </w:rPr>
        <w:t>В целях более глубокой переработки углеводородного сырья, максимального извлечения ценных компонентов из газа, повышения экономической эффективности и экологической безопасности предприятий Группа Газпром проводит техническое перевооружение и реконструкцию действующих газоперерабатывающих заводов.</w:t>
      </w:r>
    </w:p>
    <w:p w:rsidR="00A02ECF" w:rsidRDefault="006104A2">
      <w:pPr>
        <w:spacing w:before="120"/>
        <w:jc w:val="both"/>
        <w:rPr>
          <w:b/>
          <w:bCs/>
          <w:i/>
          <w:iCs/>
        </w:rPr>
      </w:pPr>
      <w:r>
        <w:rPr>
          <w:b/>
          <w:bCs/>
          <w:i/>
          <w:iCs/>
        </w:rPr>
        <w:t xml:space="preserve">ПАО «Газпром» нацелено на расширение производства продуктов газонефтехимии, а также на увеличение загрузки перерабатывающих мощностей. Задача Компании - расширение сбыта и увеличение уровня доходности для обеспечения конкурентной позиции на рынках России, стран СНГ, Азии и других регионов мира. </w:t>
      </w:r>
    </w:p>
    <w:p w:rsidR="00A02ECF" w:rsidRDefault="006104A2">
      <w:pPr>
        <w:spacing w:before="120"/>
        <w:jc w:val="both"/>
        <w:rPr>
          <w:b/>
          <w:bCs/>
          <w:i/>
          <w:iCs/>
        </w:rPr>
      </w:pPr>
      <w:r>
        <w:rPr>
          <w:b/>
          <w:bCs/>
          <w:i/>
          <w:iCs/>
        </w:rPr>
        <w:t xml:space="preserve">Совместно с российским партнером Группа Газпром реализует проект создания комплекса по переработке этансодержащего газа и производству СПГ в районе п. Усть-Луга Ленинградской области. </w:t>
      </w:r>
    </w:p>
    <w:p w:rsidR="00A02ECF" w:rsidRDefault="006104A2">
      <w:pPr>
        <w:spacing w:before="120" w:after="0"/>
        <w:jc w:val="both"/>
        <w:rPr>
          <w:b/>
          <w:bCs/>
          <w:i/>
          <w:iCs/>
        </w:rPr>
      </w:pPr>
      <w:r>
        <w:rPr>
          <w:b/>
          <w:bCs/>
          <w:i/>
          <w:iCs/>
        </w:rPr>
        <w:t>Природный газ с основных месторождений в</w:t>
      </w:r>
      <w:r>
        <w:rPr>
          <w:b/>
          <w:bCs/>
          <w:i/>
          <w:iCs/>
          <w:lang w:val="en-US"/>
        </w:rPr>
        <w:t> </w:t>
      </w:r>
      <w:r>
        <w:rPr>
          <w:b/>
          <w:bCs/>
          <w:i/>
          <w:iCs/>
        </w:rPr>
        <w:t xml:space="preserve">Восточной Сибири и на Дальнем Востоке характеризуется высоким содержанием этана, пропана и гелия. </w:t>
      </w:r>
      <w:bookmarkStart w:id="126" w:name="_Hlk198801726"/>
      <w:bookmarkEnd w:id="125"/>
      <w:r>
        <w:rPr>
          <w:b/>
          <w:bCs/>
          <w:i/>
          <w:iCs/>
        </w:rPr>
        <w:t>В этой связи в настоящее время в Свободненском районе Амурской области ведется строительство Амурского газоперерабатывающего завода (Амурский ГПЗ), предназначенного для переработки газа Якутского и Иркутского центров газодобычи. Запущены в работу пять технологических линий предприятия.</w:t>
      </w:r>
    </w:p>
    <w:p w:rsidR="00A02ECF" w:rsidRDefault="006104A2">
      <w:pPr>
        <w:spacing w:before="120"/>
        <w:jc w:val="both"/>
        <w:rPr>
          <w:b/>
          <w:bCs/>
          <w:i/>
          <w:iCs/>
        </w:rPr>
      </w:pPr>
      <w:r>
        <w:rPr>
          <w:b/>
          <w:bCs/>
          <w:i/>
          <w:iCs/>
        </w:rPr>
        <w:t>В области нефтепереработки продолжается модернизация перерабатывающих мощностей, повышение операционной эффективности заводов, увеличение масштаб сбытовой сети.</w:t>
      </w:r>
    </w:p>
    <w:p w:rsidR="00A02ECF" w:rsidRDefault="006104A2">
      <w:pPr>
        <w:spacing w:before="120"/>
        <w:jc w:val="both"/>
        <w:rPr>
          <w:b/>
          <w:i/>
        </w:rPr>
      </w:pPr>
      <w:r>
        <w:rPr>
          <w:b/>
          <w:i/>
        </w:rPr>
        <w:t>Ключевые стратегические направления развития сегмента:</w:t>
      </w:r>
    </w:p>
    <w:p w:rsidR="00A02ECF" w:rsidRDefault="006104A2">
      <w:pPr>
        <w:spacing w:before="120"/>
        <w:jc w:val="both"/>
        <w:rPr>
          <w:b/>
          <w:i/>
        </w:rPr>
      </w:pPr>
      <w:r>
        <w:rPr>
          <w:b/>
          <w:i/>
        </w:rPr>
        <w:t>1. увеличение глубины переработки и выхода светлых нефтепродуктов - повышение ценности корзины нефтепродуктов для обеспечения экономической устойчивости и технологической гибкости нефтеперерабатывающих заводов в различных рыночных условиях;</w:t>
      </w:r>
    </w:p>
    <w:p w:rsidR="00A02ECF" w:rsidRDefault="006104A2">
      <w:pPr>
        <w:spacing w:before="120"/>
        <w:jc w:val="both"/>
        <w:rPr>
          <w:b/>
          <w:i/>
        </w:rPr>
      </w:pPr>
      <w:r>
        <w:rPr>
          <w:b/>
          <w:i/>
        </w:rPr>
        <w:t>2. развитие сбытового бизнеса - сохранение лидирующих позиций и увеличение доли как на существующих, так и на новых продуктовых рынках сбыта.</w:t>
      </w:r>
      <w:bookmarkEnd w:id="126"/>
    </w:p>
    <w:p w:rsidR="00A02ECF" w:rsidRDefault="00A02ECF">
      <w:pPr>
        <w:spacing w:before="0" w:after="0"/>
      </w:pPr>
    </w:p>
    <w:p w:rsidR="00A02ECF" w:rsidRDefault="006104A2">
      <w:pPr>
        <w:rPr>
          <w:b/>
          <w:bCs/>
          <w:u w:val="single"/>
        </w:rPr>
      </w:pPr>
      <w:r>
        <w:rPr>
          <w:b/>
          <w:bCs/>
          <w:u w:val="single"/>
        </w:rPr>
        <w:t>Маркетинг и сбыт</w:t>
      </w:r>
    </w:p>
    <w:p w:rsidR="00A02ECF" w:rsidRDefault="006104A2">
      <w:pPr>
        <w:pStyle w:val="aff4"/>
        <w:spacing w:before="80" w:after="0"/>
        <w:ind w:left="0"/>
        <w:rPr>
          <w:b/>
          <w:i/>
          <w:szCs w:val="20"/>
          <w:lang w:val="ru-RU"/>
        </w:rPr>
      </w:pPr>
      <w:bookmarkStart w:id="127" w:name="_Hlk185343838"/>
      <w:r>
        <w:rPr>
          <w:b/>
          <w:i/>
          <w:szCs w:val="20"/>
          <w:lang w:val="ru-RU"/>
        </w:rPr>
        <w:t xml:space="preserve">На внутреннем рынке России одной из стратегических задач Группы Газпром является обеспечение надежности поставок газа потребителям. </w:t>
      </w:r>
    </w:p>
    <w:p w:rsidR="00A02ECF" w:rsidRDefault="006104A2">
      <w:pPr>
        <w:spacing w:before="80"/>
        <w:jc w:val="both"/>
        <w:rPr>
          <w:b/>
          <w:i/>
        </w:rPr>
      </w:pPr>
      <w:r>
        <w:rPr>
          <w:b/>
          <w:i/>
        </w:rPr>
        <w:t>Реализация мероприятий программ развития газоснабжения и газификации субъектов Российской Федерации на период 2021-2025 годов (далее – Программы газификации), а также догазификации - приоритетные направления деятельности в 2024 и 2025 годах,</w:t>
      </w:r>
      <w:r>
        <w:rPr>
          <w:b/>
          <w:bCs/>
          <w:i/>
        </w:rPr>
        <w:t xml:space="preserve"> </w:t>
      </w:r>
      <w:r>
        <w:rPr>
          <w:b/>
          <w:i/>
        </w:rPr>
        <w:t xml:space="preserve">осуществляемые в целях оказания положительного влияния как на расширение географии поставок природного газа, так и на увеличение объемов реализации газа потребителям. </w:t>
      </w:r>
      <w:r>
        <w:rPr>
          <w:b/>
          <w:i/>
          <w:color w:val="000000"/>
        </w:rPr>
        <w:t>В 2025 году выполнена разработка программ развития газоснабжения и газификации субъектов Российской Федерации на период 2026-2030 годов.</w:t>
      </w:r>
      <w:bookmarkEnd w:id="127"/>
    </w:p>
    <w:p w:rsidR="00A02ECF" w:rsidRDefault="006104A2">
      <w:pPr>
        <w:spacing w:before="80"/>
        <w:jc w:val="both"/>
        <w:rPr>
          <w:b/>
          <w:i/>
        </w:rPr>
      </w:pPr>
      <w:r>
        <w:rPr>
          <w:b/>
          <w:i/>
        </w:rPr>
        <w:t>Группа Газпром реализует мероприятия, которые направлены на развитие систем газоснабжения и газораспределения с целью доведения газа до границ земельных участков потребителей. Инвестиции по Программам газификации, запланированные на период с 2021 по 2025 гг., значительно возросли по сравнению с предыдущими годами, что обусловлено целями, установленными документами стратегического планирования Российской Федерации.</w:t>
      </w:r>
    </w:p>
    <w:p w:rsidR="00A02ECF" w:rsidRDefault="006104A2">
      <w:pPr>
        <w:spacing w:before="120"/>
        <w:jc w:val="both"/>
        <w:rPr>
          <w:rFonts w:eastAsia="Arial"/>
          <w:b/>
          <w:i/>
          <w:strike/>
          <w:color w:val="000000"/>
        </w:rPr>
      </w:pPr>
      <w:r>
        <w:rPr>
          <w:rFonts w:eastAsia="Arial"/>
          <w:b/>
          <w:i/>
          <w:color w:val="000000"/>
        </w:rPr>
        <w:t xml:space="preserve">Группа Газпром продолжает поставки природного газа на рынки стран ближнего зарубежья. </w:t>
      </w:r>
    </w:p>
    <w:p w:rsidR="00A02ECF" w:rsidRDefault="006104A2">
      <w:pPr>
        <w:spacing w:before="120"/>
        <w:jc w:val="both"/>
        <w:rPr>
          <w:b/>
          <w:i/>
        </w:rPr>
      </w:pPr>
      <w:r>
        <w:rPr>
          <w:b/>
          <w:i/>
        </w:rPr>
        <w:t xml:space="preserve">На европейском рынке основной задачей ПАО «Газпром» является исполнение ранее принятых на себя обязательств по обеспечению поставок газа потребителям, которые подтвердили свою готовность к сотрудничеству в условиях, учитывающих санкционное давление на Общество. </w:t>
      </w:r>
    </w:p>
    <w:p w:rsidR="00A02ECF" w:rsidRDefault="006104A2">
      <w:pPr>
        <w:spacing w:before="120"/>
        <w:jc w:val="both"/>
        <w:rPr>
          <w:b/>
          <w:i/>
        </w:rPr>
      </w:pPr>
      <w:r>
        <w:rPr>
          <w:b/>
          <w:i/>
        </w:rPr>
        <w:t xml:space="preserve">В качестве ключевых для Группы рынков сбыта газа рассматриваются страны Азиатско-Тихоокеанского региона. В частности, в декабре 2019 года начались поставки газа по Договору купли-продажи природного газа с китайской CNPC, который предусматривает поставку трубопроводного природного газа из России в Китай по «восточному» маршруту (магистральный газопровод «Сила Сибири»). В 2025 году продолжилась работа по проекту поставок природного газа из России в Китай по «дальневосточному» маршруту. </w:t>
      </w:r>
    </w:p>
    <w:p w:rsidR="00A02ECF" w:rsidRDefault="00A02ECF">
      <w:pPr>
        <w:spacing w:before="120"/>
        <w:jc w:val="both"/>
        <w:rPr>
          <w:b/>
          <w:bCs/>
          <w:highlight w:val="cyan"/>
          <w:u w:val="single"/>
        </w:rPr>
      </w:pPr>
    </w:p>
    <w:p w:rsidR="00A02ECF" w:rsidRDefault="006104A2">
      <w:pPr>
        <w:rPr>
          <w:b/>
          <w:bCs/>
          <w:u w:val="single"/>
        </w:rPr>
      </w:pPr>
      <w:r>
        <w:rPr>
          <w:b/>
          <w:bCs/>
          <w:u w:val="single"/>
        </w:rPr>
        <w:t>Электроэнергетика</w:t>
      </w:r>
    </w:p>
    <w:p w:rsidR="00A02ECF" w:rsidRDefault="006104A2">
      <w:pPr>
        <w:spacing w:before="60" w:after="60"/>
        <w:jc w:val="both"/>
        <w:rPr>
          <w:b/>
          <w:bCs/>
          <w:i/>
          <w:iCs/>
          <w:color w:val="000000"/>
          <w:highlight w:val="white"/>
        </w:rPr>
      </w:pPr>
      <w:bookmarkStart w:id="128" w:name="_Hlk163733425"/>
      <w:r>
        <w:rPr>
          <w:b/>
          <w:i/>
          <w:highlight w:val="white"/>
        </w:rPr>
        <w:t>Г</w:t>
      </w:r>
      <w:r>
        <w:rPr>
          <w:b/>
          <w:bCs/>
          <w:i/>
          <w:highlight w:val="white"/>
        </w:rPr>
        <w:t>руппа Газпром рассматривает электроэнергетику как стратегически важную область развития бизнеса. С</w:t>
      </w:r>
      <w:r>
        <w:rPr>
          <w:b/>
          <w:bCs/>
          <w:i/>
          <w:iCs/>
          <w:color w:val="000000"/>
          <w:highlight w:val="white"/>
        </w:rPr>
        <w:t xml:space="preserve">тратегической целью Группы Газпром в электроэнергетическом бизнесе является сохранение статуса лидера по установленным электро- и теплогенерирующим мощностям в Российской Федерации посредством надежного снабжения потребителей электрической и тепловой энергией, обеспечение стабильного роста прибыли с соблюдением принципов высокой социальной и экологической ответственности. </w:t>
      </w:r>
    </w:p>
    <w:p w:rsidR="00A02ECF" w:rsidRDefault="006104A2">
      <w:pPr>
        <w:spacing w:before="60" w:after="60"/>
        <w:jc w:val="both"/>
        <w:rPr>
          <w:b/>
          <w:bCs/>
          <w:i/>
          <w:iCs/>
          <w:highlight w:val="white"/>
        </w:rPr>
      </w:pPr>
      <w:r>
        <w:rPr>
          <w:b/>
          <w:bCs/>
          <w:i/>
          <w:iCs/>
          <w:highlight w:val="white"/>
        </w:rPr>
        <w:t>Основные стратегические задачи электроэнергетического бизнеса Группы Газпром:</w:t>
      </w:r>
    </w:p>
    <w:p w:rsidR="00A02ECF" w:rsidRDefault="006104A2">
      <w:pPr>
        <w:pStyle w:val="SubtleEmphasisListParagraph1BulletIRAOACList011head5113TITLE2221"/>
        <w:numPr>
          <w:ilvl w:val="0"/>
          <w:numId w:val="34"/>
        </w:numPr>
        <w:shd w:val="clear" w:color="auto" w:fill="FFFFFF"/>
        <w:spacing w:before="60" w:after="0" w:line="240" w:lineRule="atLeast"/>
        <w:ind w:left="426" w:hanging="284"/>
        <w:contextualSpacing w:val="0"/>
        <w:jc w:val="both"/>
        <w:rPr>
          <w:rFonts w:ascii="Times New Roman" w:hAnsi="Times New Roman"/>
          <w:b/>
          <w:i/>
          <w:sz w:val="20"/>
          <w:szCs w:val="20"/>
          <w:highlight w:val="white"/>
          <w:lang w:val="ru-RU"/>
        </w:rPr>
      </w:pPr>
      <w:r>
        <w:rPr>
          <w:rFonts w:ascii="Times New Roman" w:hAnsi="Times New Roman"/>
          <w:b/>
          <w:i/>
          <w:sz w:val="20"/>
          <w:szCs w:val="20"/>
          <w:highlight w:val="white"/>
          <w:lang w:val="ru-RU"/>
        </w:rPr>
        <w:t>обеспечение эффективной реализации новых инвестиционных проектов;</w:t>
      </w:r>
    </w:p>
    <w:p w:rsidR="00A02ECF" w:rsidRDefault="006104A2">
      <w:pPr>
        <w:pStyle w:val="SubtleEmphasisListParagraph1BulletIRAOACList011head5113TITLE2221"/>
        <w:numPr>
          <w:ilvl w:val="0"/>
          <w:numId w:val="34"/>
        </w:numPr>
        <w:shd w:val="clear" w:color="auto" w:fill="FFFFFF"/>
        <w:spacing w:before="60" w:after="0" w:line="240" w:lineRule="atLeast"/>
        <w:ind w:left="426" w:hanging="284"/>
        <w:contextualSpacing w:val="0"/>
        <w:jc w:val="both"/>
        <w:rPr>
          <w:rFonts w:ascii="Times New Roman" w:hAnsi="Times New Roman"/>
          <w:b/>
          <w:i/>
          <w:sz w:val="20"/>
          <w:szCs w:val="20"/>
          <w:highlight w:val="white"/>
          <w:lang w:val="ru-RU"/>
        </w:rPr>
      </w:pPr>
      <w:r>
        <w:rPr>
          <w:rFonts w:ascii="Times New Roman" w:hAnsi="Times New Roman"/>
          <w:b/>
          <w:i/>
          <w:sz w:val="20"/>
          <w:szCs w:val="20"/>
          <w:highlight w:val="white"/>
          <w:lang w:val="ru-RU"/>
        </w:rPr>
        <w:t>осуществление проектов модернизации, направленных на повышение эффективности производства и сокращение издержек использования топлива;</w:t>
      </w:r>
    </w:p>
    <w:p w:rsidR="00A02ECF" w:rsidRDefault="006104A2">
      <w:pPr>
        <w:pStyle w:val="SubtleEmphasisListParagraph1BulletIRAOACList011head5113TITLE2221"/>
        <w:numPr>
          <w:ilvl w:val="0"/>
          <w:numId w:val="34"/>
        </w:numPr>
        <w:shd w:val="clear" w:color="auto" w:fill="FFFFFF"/>
        <w:spacing w:before="60" w:after="0" w:line="240" w:lineRule="atLeast"/>
        <w:ind w:left="426" w:hanging="284"/>
        <w:contextualSpacing w:val="0"/>
        <w:jc w:val="both"/>
        <w:rPr>
          <w:rFonts w:ascii="Times New Roman" w:hAnsi="Times New Roman"/>
          <w:b/>
          <w:i/>
          <w:sz w:val="20"/>
          <w:szCs w:val="20"/>
          <w:highlight w:val="white"/>
          <w:lang w:val="ru-RU"/>
        </w:rPr>
      </w:pPr>
      <w:r>
        <w:rPr>
          <w:rFonts w:ascii="Times New Roman" w:hAnsi="Times New Roman"/>
          <w:b/>
          <w:i/>
          <w:sz w:val="20"/>
          <w:szCs w:val="20"/>
          <w:highlight w:val="white"/>
          <w:lang w:val="ru-RU"/>
        </w:rPr>
        <w:t>повышение операционной эффективности электроэнергетических активов, обеспечение надежности электро- и теплоснабжения;</w:t>
      </w:r>
    </w:p>
    <w:p w:rsidR="00A02ECF" w:rsidRDefault="006104A2">
      <w:pPr>
        <w:pStyle w:val="SubtleEmphasisListParagraph1BulletIRAOACList011head5113TITLE2221"/>
        <w:numPr>
          <w:ilvl w:val="0"/>
          <w:numId w:val="34"/>
        </w:numPr>
        <w:shd w:val="clear" w:color="auto" w:fill="FFFFFF"/>
        <w:spacing w:before="60" w:after="0" w:line="240" w:lineRule="atLeast"/>
        <w:ind w:left="426" w:hanging="284"/>
        <w:contextualSpacing w:val="0"/>
        <w:jc w:val="both"/>
        <w:rPr>
          <w:rFonts w:ascii="Times New Roman" w:hAnsi="Times New Roman"/>
          <w:b/>
          <w:i/>
          <w:sz w:val="20"/>
          <w:szCs w:val="20"/>
          <w:highlight w:val="white"/>
          <w:lang w:val="ru-RU"/>
        </w:rPr>
      </w:pPr>
      <w:r>
        <w:rPr>
          <w:rFonts w:ascii="Times New Roman" w:hAnsi="Times New Roman"/>
          <w:b/>
          <w:i/>
          <w:sz w:val="20"/>
          <w:szCs w:val="20"/>
          <w:highlight w:val="white"/>
          <w:lang w:val="ru-RU"/>
        </w:rPr>
        <w:t>использование новых технологий преимущественно российского происхождения;</w:t>
      </w:r>
    </w:p>
    <w:p w:rsidR="00A02ECF" w:rsidRDefault="006104A2">
      <w:pPr>
        <w:pStyle w:val="SubtleEmphasisListParagraph1BulletIRAOACList011head5113TITLE2221"/>
        <w:numPr>
          <w:ilvl w:val="0"/>
          <w:numId w:val="34"/>
        </w:numPr>
        <w:shd w:val="clear" w:color="auto" w:fill="FFFFFF"/>
        <w:spacing w:before="60" w:after="0" w:line="240" w:lineRule="atLeast"/>
        <w:ind w:left="426" w:hanging="284"/>
        <w:contextualSpacing w:val="0"/>
        <w:jc w:val="both"/>
        <w:rPr>
          <w:rFonts w:ascii="Times New Roman" w:hAnsi="Times New Roman"/>
          <w:b/>
          <w:i/>
          <w:sz w:val="20"/>
          <w:szCs w:val="20"/>
          <w:highlight w:val="white"/>
          <w:lang w:val="ru-RU"/>
        </w:rPr>
      </w:pPr>
      <w:r>
        <w:rPr>
          <w:rFonts w:ascii="Times New Roman" w:hAnsi="Times New Roman"/>
          <w:b/>
          <w:i/>
          <w:sz w:val="20"/>
          <w:szCs w:val="20"/>
          <w:highlight w:val="white"/>
          <w:lang w:val="ru-RU"/>
        </w:rPr>
        <w:t>получение</w:t>
      </w:r>
      <w:r>
        <w:rPr>
          <w:rFonts w:ascii="Times New Roman" w:hAnsi="Times New Roman"/>
          <w:b/>
          <w:i/>
          <w:sz w:val="20"/>
          <w:szCs w:val="20"/>
          <w:lang w:val="ru-RU"/>
        </w:rPr>
        <w:t xml:space="preserve"> </w:t>
      </w:r>
      <w:r>
        <w:rPr>
          <w:rFonts w:ascii="Times New Roman" w:hAnsi="Times New Roman"/>
          <w:b/>
          <w:i/>
          <w:sz w:val="20"/>
          <w:szCs w:val="20"/>
          <w:highlight w:val="white"/>
          <w:lang w:val="ru-RU"/>
        </w:rPr>
        <w:t>новых</w:t>
      </w:r>
      <w:r>
        <w:rPr>
          <w:rFonts w:ascii="Times New Roman" w:hAnsi="Times New Roman"/>
          <w:b/>
          <w:i/>
          <w:sz w:val="20"/>
          <w:szCs w:val="20"/>
          <w:lang w:val="ru-RU"/>
        </w:rPr>
        <w:t xml:space="preserve"> источников дохода за счет диверсификации деятельности и реализации потенциальных синергетических эффектов, связанных с взаимодействием внутри Группы Газпром</w:t>
      </w:r>
      <w:r>
        <w:rPr>
          <w:rFonts w:ascii="Times New Roman" w:hAnsi="Times New Roman"/>
          <w:b/>
          <w:i/>
          <w:sz w:val="20"/>
          <w:szCs w:val="20"/>
          <w:highlight w:val="white"/>
          <w:lang w:val="ru-RU"/>
        </w:rPr>
        <w:t>.</w:t>
      </w:r>
    </w:p>
    <w:p w:rsidR="00A02ECF" w:rsidRDefault="006104A2">
      <w:pPr>
        <w:spacing w:before="120"/>
        <w:jc w:val="both"/>
        <w:rPr>
          <w:b/>
          <w:bCs/>
          <w:i/>
          <w:color w:val="000000"/>
          <w:highlight w:val="white"/>
        </w:rPr>
      </w:pPr>
      <w:bookmarkStart w:id="129" w:name="_Hlk198305613"/>
      <w:bookmarkStart w:id="130" w:name="_Hlk198306720"/>
      <w:bookmarkEnd w:id="128"/>
      <w:r>
        <w:rPr>
          <w:b/>
          <w:i/>
          <w:highlight w:val="white"/>
        </w:rPr>
        <w:t>Приоритетными направлениями развития в производстве и продаже электрической и тепловой энергии</w:t>
      </w:r>
      <w:bookmarkEnd w:id="129"/>
      <w:r>
        <w:rPr>
          <w:b/>
          <w:i/>
          <w:highlight w:val="white"/>
        </w:rPr>
        <w:t xml:space="preserve"> на 2026 год и среднесрочную перспективу 2027–2028 гг. являются: (1) </w:t>
      </w:r>
      <w:r>
        <w:rPr>
          <w:b/>
          <w:i/>
          <w:color w:val="000000"/>
          <w:highlight w:val="white"/>
        </w:rPr>
        <w:t>реализация программы модернизации генерирующих мощностей; (2) вывод из эксплуатации неэффективных и мало востребованных мощностей; (3) выполнение мероприятий по повышению операционной эффективности и оптимизации расходов; (4) участие в отборах проектов модернизации генерирующего оборудования тепловых электростанций на 2030-2031 гг.; (5) участие в программе по строительству и модернизации тепловых электростанций в неценовых зонах; (6) у</w:t>
      </w:r>
      <w:r>
        <w:rPr>
          <w:rFonts w:eastAsiaTheme="minorHAnsi" w:cstheme="minorBidi"/>
          <w:b/>
          <w:bCs/>
          <w:i/>
          <w:iCs/>
          <w:color w:val="000000"/>
          <w:highlight w:val="white"/>
        </w:rPr>
        <w:t>частие в конкурентном отборе мощности новых генерирующих объектов; (7) участие в программе по строительству и модернизации тепловых электростанций в ценовых зонах</w:t>
      </w:r>
      <w:r>
        <w:rPr>
          <w:b/>
          <w:bCs/>
          <w:i/>
          <w:iCs/>
          <w:color w:val="000000"/>
          <w:highlight w:val="white"/>
        </w:rPr>
        <w:t>.</w:t>
      </w:r>
      <w:bookmarkEnd w:id="130"/>
    </w:p>
    <w:p w:rsidR="00A02ECF" w:rsidRDefault="00A02ECF"/>
    <w:p w:rsidR="00A02ECF" w:rsidRDefault="006104A2">
      <w:pPr>
        <w:rPr>
          <w:b/>
          <w:bCs/>
          <w:u w:val="single"/>
        </w:rPr>
      </w:pPr>
      <w:r>
        <w:rPr>
          <w:b/>
          <w:bCs/>
          <w:u w:val="single"/>
        </w:rPr>
        <w:t>Диверсификация продуктов и видов деятельности</w:t>
      </w:r>
    </w:p>
    <w:p w:rsidR="00A02ECF" w:rsidRDefault="006104A2">
      <w:pPr>
        <w:spacing w:before="120"/>
        <w:jc w:val="both"/>
        <w:rPr>
          <w:b/>
          <w:bCs/>
          <w:i/>
          <w:iCs/>
        </w:rPr>
      </w:pPr>
      <w:bookmarkStart w:id="131" w:name="_Hlk182823178"/>
      <w:r>
        <w:rPr>
          <w:b/>
          <w:i/>
        </w:rPr>
        <w:t xml:space="preserve">С </w:t>
      </w:r>
      <w:r>
        <w:rPr>
          <w:b/>
          <w:bCs/>
          <w:i/>
          <w:iCs/>
        </w:rPr>
        <w:t>целью диверсификации бизнеса Группа Газпром интегрирует новые продукты и виды деятельности с традиционными поставками трубопроводного газа.</w:t>
      </w:r>
    </w:p>
    <w:p w:rsidR="00A02ECF" w:rsidRDefault="006104A2">
      <w:pPr>
        <w:spacing w:before="120"/>
        <w:jc w:val="both"/>
        <w:rPr>
          <w:b/>
          <w:bCs/>
          <w:i/>
          <w:iCs/>
        </w:rPr>
      </w:pPr>
      <w:r>
        <w:rPr>
          <w:b/>
          <w:bCs/>
          <w:i/>
          <w:iCs/>
        </w:rPr>
        <w:t>Одним из приоритетных направлений при выходе на новые рынки является поэтапное развитие производства, морской транспортировки и маркетинга СПГ. Развитие бизнеса в сфере СПГ ориентировано на увеличение объемов экспорта природного газа за счет выхода на новые, недоступные для трубопроводных поставок рынки.</w:t>
      </w:r>
    </w:p>
    <w:p w:rsidR="00A02ECF" w:rsidRDefault="006104A2">
      <w:pPr>
        <w:spacing w:before="120"/>
        <w:jc w:val="both"/>
        <w:rPr>
          <w:b/>
          <w:bCs/>
          <w:i/>
          <w:iCs/>
        </w:rPr>
      </w:pPr>
      <w:r>
        <w:rPr>
          <w:b/>
          <w:bCs/>
          <w:i/>
          <w:iCs/>
        </w:rPr>
        <w:t xml:space="preserve">Группа Газпром планирует наращивать объемы торговли СПГ. Для достижения этой цели Группой Газпром совместно с российским партнером осуществляется строительство Комплекса по переработке этансодержащего газа и производству СПГ в </w:t>
      </w:r>
      <w:r w:rsidR="009F77A2">
        <w:rPr>
          <w:b/>
          <w:bCs/>
          <w:i/>
          <w:iCs/>
        </w:rPr>
        <w:t xml:space="preserve">районе п. </w:t>
      </w:r>
      <w:r>
        <w:rPr>
          <w:b/>
          <w:bCs/>
          <w:i/>
          <w:iCs/>
        </w:rPr>
        <w:t>Усть-Луг</w:t>
      </w:r>
      <w:r w:rsidR="009F77A2">
        <w:rPr>
          <w:b/>
          <w:bCs/>
          <w:i/>
          <w:iCs/>
        </w:rPr>
        <w:t>а</w:t>
      </w:r>
      <w:r>
        <w:rPr>
          <w:b/>
          <w:bCs/>
          <w:i/>
          <w:iCs/>
        </w:rPr>
        <w:t xml:space="preserve"> (Ленинградская область). </w:t>
      </w:r>
    </w:p>
    <w:p w:rsidR="00A02ECF" w:rsidRDefault="006104A2">
      <w:pPr>
        <w:spacing w:before="120"/>
        <w:jc w:val="both"/>
        <w:rPr>
          <w:b/>
          <w:bCs/>
          <w:i/>
          <w:iCs/>
        </w:rPr>
      </w:pPr>
      <w:r>
        <w:rPr>
          <w:b/>
          <w:bCs/>
          <w:i/>
          <w:iCs/>
        </w:rPr>
        <w:t>Кроме того, Группа Газпром планомерно увеличивает объемы выработки жидкого гелия на Амурском ГПЗ, а также развивает соответствующую инфраструктуру логистики и сбыта.</w:t>
      </w:r>
      <w:bookmarkEnd w:id="131"/>
      <w:r>
        <w:rPr>
          <w:b/>
          <w:bCs/>
          <w:i/>
          <w:iCs/>
        </w:rPr>
        <w:t xml:space="preserve"> </w:t>
      </w:r>
    </w:p>
    <w:p w:rsidR="00A02ECF" w:rsidRDefault="00A02ECF">
      <w:pPr>
        <w:spacing w:after="0"/>
        <w:jc w:val="both"/>
        <w:rPr>
          <w:b/>
          <w:bCs/>
          <w:color w:val="000000"/>
          <w:sz w:val="22"/>
          <w:szCs w:val="22"/>
          <w:u w:val="single"/>
        </w:rPr>
      </w:pPr>
    </w:p>
    <w:p w:rsidR="00A02ECF" w:rsidRDefault="006104A2">
      <w:pPr>
        <w:spacing w:after="0"/>
        <w:jc w:val="both"/>
        <w:rPr>
          <w:b/>
          <w:bCs/>
          <w:color w:val="000000"/>
          <w:sz w:val="22"/>
          <w:szCs w:val="22"/>
          <w:u w:val="single"/>
        </w:rPr>
      </w:pPr>
      <w:r>
        <w:rPr>
          <w:b/>
          <w:bCs/>
          <w:color w:val="000000"/>
          <w:sz w:val="22"/>
          <w:szCs w:val="22"/>
          <w:u w:val="single"/>
        </w:rPr>
        <w:t>Стратегия развития в медиабизнесе</w:t>
      </w:r>
    </w:p>
    <w:p w:rsidR="00A02ECF" w:rsidRDefault="006104A2">
      <w:pPr>
        <w:spacing w:before="120"/>
        <w:jc w:val="both"/>
        <w:rPr>
          <w:b/>
          <w:bCs/>
          <w:i/>
          <w:iCs/>
        </w:rPr>
      </w:pPr>
      <w:r>
        <w:rPr>
          <w:b/>
          <w:bCs/>
          <w:i/>
          <w:iCs/>
        </w:rPr>
        <w:t>Стратегической целью «Газпром-Медиа Холдинга» является сохранение лидирующих позиций по контакту с аудиторией во всех доступных медиа-средах. «Газпром-Медиа Холдинг» последовательно осуществляет развитие в традиционных и новых медиа за счет поддержания и расширения предложения своей аудитории развлекательного, развлекательно-информационного и информационно-аналитического контента. Деятельность «Газпром-Медиа Холдинга» направлена на создание и распространение коммерчески успешного и востребованного контента, увеличение охвата и времени аудитории, развитие технологической инфраструктуры средств доставки контента.</w:t>
      </w:r>
      <w:bookmarkEnd w:id="113"/>
    </w:p>
    <w:p w:rsidR="00A02ECF" w:rsidRDefault="00A02ECF">
      <w:pPr>
        <w:ind w:left="200"/>
        <w:rPr>
          <w:b/>
          <w:i/>
          <w:color w:val="000000"/>
        </w:rPr>
      </w:pPr>
    </w:p>
    <w:p w:rsidR="00A02ECF" w:rsidRDefault="00A02ECF">
      <w:pPr>
        <w:ind w:left="200"/>
        <w:rPr>
          <w:b/>
          <w:i/>
          <w:color w:val="000000"/>
        </w:rPr>
      </w:pPr>
    </w:p>
    <w:p w:rsidR="00A02ECF" w:rsidRDefault="00A02ECF">
      <w:pPr>
        <w:ind w:left="200"/>
        <w:rPr>
          <w:b/>
          <w:i/>
          <w:color w:val="000000"/>
        </w:rPr>
      </w:pPr>
    </w:p>
    <w:p w:rsidR="00A02ECF" w:rsidRDefault="006104A2">
      <w:pPr>
        <w:pStyle w:val="2"/>
        <w:rPr>
          <w:color w:val="000000"/>
        </w:rPr>
      </w:pPr>
      <w:bookmarkStart w:id="132" w:name="_Hlk177027970"/>
      <w:bookmarkStart w:id="133" w:name="_Toc230104307"/>
      <w:bookmarkStart w:id="134" w:name="_Hlk196233407"/>
      <w:bookmarkStart w:id="135" w:name="_Hlk197434649"/>
      <w:bookmarkStart w:id="136" w:name="_Hlk230096085"/>
      <w:r>
        <w:rPr>
          <w:color w:val="000000"/>
        </w:rPr>
        <w:t>1.9. Сведения о рисках, связанных с деятельностью эмитента</w:t>
      </w:r>
      <w:bookmarkEnd w:id="132"/>
      <w:bookmarkEnd w:id="133"/>
    </w:p>
    <w:p w:rsidR="00A02ECF" w:rsidRDefault="006104A2">
      <w:pPr>
        <w:jc w:val="both"/>
      </w:pPr>
      <w:r>
        <w:lastRenderedPageBreak/>
        <w:t>Описываются риски, реализация которых может оказать существенное влияние на финансово-хозяйственную деятельность и финансовое положение эмитента, а если эмитентом составляется и раскрывается консолидированная финансовая отчетность, - на финансово-хозяйственную деятельность и финансовое положение группы эмитента.</w:t>
      </w:r>
    </w:p>
    <w:p w:rsidR="00A02ECF" w:rsidRDefault="006104A2">
      <w:pPr>
        <w:jc w:val="both"/>
      </w:pPr>
      <w:r>
        <w:t>Информация, раскрываемая в настоящем пункте, должна объективно и достоверно описывать риски, относящиеся к эмитенту (группе эмитента), с указанием возможных последствий реализации каждого из описанных рисков применительно к эмитенту (группе эмитента) с учетом специфики деятельности эмитента (группы эмитента).</w:t>
      </w:r>
    </w:p>
    <w:p w:rsidR="00A02ECF" w:rsidRDefault="006104A2">
      <w:pPr>
        <w:jc w:val="both"/>
      </w:pPr>
      <w:r>
        <w:t>Для детализированного представления информации эмитент может приводить сведения о рисках в отношении выделяемых сегментов операционной деятельности, видов товаров (работ, услуг), географии ведения бизнеса, иных аспектов, характеризующих специфику деятельности эмитента (группы эмитента).</w:t>
      </w:r>
    </w:p>
    <w:p w:rsidR="00A02ECF" w:rsidRDefault="00A02ECF"/>
    <w:p w:rsidR="00A02ECF" w:rsidRDefault="00A02ECF"/>
    <w:p w:rsidR="00A02ECF" w:rsidRDefault="006104A2">
      <w:pPr>
        <w:pStyle w:val="2"/>
        <w:rPr>
          <w:color w:val="000000"/>
        </w:rPr>
      </w:pPr>
      <w:bookmarkStart w:id="137" w:name="_Toc230104308"/>
      <w:r>
        <w:rPr>
          <w:color w:val="000000"/>
        </w:rPr>
        <w:t>1.9.1. Отраслевые риски</w:t>
      </w:r>
      <w:bookmarkEnd w:id="137"/>
    </w:p>
    <w:p w:rsidR="00A02ECF" w:rsidRDefault="006104A2">
      <w:pPr>
        <w:tabs>
          <w:tab w:val="left" w:pos="2506"/>
        </w:tabs>
        <w:spacing w:before="120"/>
        <w:jc w:val="both"/>
        <w:rPr>
          <w:b/>
          <w:bCs/>
          <w:i/>
          <w:iCs/>
          <w:u w:val="single"/>
        </w:rPr>
      </w:pPr>
      <w:bookmarkStart w:id="138" w:name="_Hlk230333227"/>
      <w:bookmarkStart w:id="139" w:name="_Hlk103778310"/>
      <w:r>
        <w:rPr>
          <w:b/>
          <w:i/>
          <w:u w:val="single"/>
        </w:rPr>
        <w:t>Высокая степень государственного регулирования газовой отрасли, в том числе риски, связанные с директивным установлением цен на газ на внутреннем рынке</w:t>
      </w:r>
      <w:bookmarkEnd w:id="134"/>
      <w:bookmarkEnd w:id="138"/>
    </w:p>
    <w:p w:rsidR="00A02ECF" w:rsidRDefault="006104A2">
      <w:pPr>
        <w:tabs>
          <w:tab w:val="left" w:pos="2506"/>
        </w:tabs>
        <w:spacing w:before="120"/>
        <w:jc w:val="both"/>
        <w:rPr>
          <w:b/>
          <w:bCs/>
          <w:i/>
          <w:iCs/>
          <w:highlight w:val="white"/>
        </w:rPr>
      </w:pPr>
      <w:r>
        <w:rPr>
          <w:b/>
          <w:bCs/>
          <w:i/>
          <w:iCs/>
          <w:highlight w:val="white"/>
        </w:rPr>
        <w:t xml:space="preserve">В настоящее время российский рынок природного газа в зоне Единой системы газоснабжения (далее - ЕСГ) структурируется по двум секторам, на одном из которых цена на газ подлежит государственному регулированию, а на другом нет (регулируемый и нерегулируемый секторы). </w:t>
      </w:r>
    </w:p>
    <w:p w:rsidR="00A02ECF" w:rsidRDefault="006104A2">
      <w:pPr>
        <w:tabs>
          <w:tab w:val="left" w:pos="2506"/>
        </w:tabs>
        <w:spacing w:before="120"/>
        <w:jc w:val="both"/>
        <w:rPr>
          <w:b/>
          <w:bCs/>
          <w:i/>
          <w:iCs/>
          <w:highlight w:val="white"/>
        </w:rPr>
      </w:pPr>
      <w:r>
        <w:rPr>
          <w:b/>
          <w:bCs/>
          <w:i/>
          <w:iCs/>
          <w:highlight w:val="white"/>
        </w:rPr>
        <w:t>Регулируемые Федеральной антимонопольной службой оптовые цены на газ дифференцируются как по категориям потребителей (население и промышленность), так и по ценовым поясам с учетом дальности транспортировки газа от региона добычи до потребителя.</w:t>
      </w:r>
    </w:p>
    <w:p w:rsidR="00A02ECF" w:rsidRDefault="006104A2">
      <w:pPr>
        <w:tabs>
          <w:tab w:val="left" w:pos="2506"/>
        </w:tabs>
        <w:spacing w:before="120"/>
        <w:jc w:val="both"/>
        <w:rPr>
          <w:b/>
          <w:bCs/>
          <w:i/>
          <w:iCs/>
          <w:highlight w:val="white"/>
        </w:rPr>
      </w:pPr>
      <w:r>
        <w:rPr>
          <w:b/>
          <w:bCs/>
          <w:i/>
          <w:iCs/>
          <w:highlight w:val="white"/>
        </w:rPr>
        <w:t>Параметры изменения регулируемых оптовых цен на газ для различных категорий потребителей следующие:</w:t>
      </w:r>
    </w:p>
    <w:p w:rsidR="00A02ECF" w:rsidRDefault="006104A2">
      <w:pPr>
        <w:tabs>
          <w:tab w:val="left" w:pos="2506"/>
        </w:tabs>
        <w:ind w:left="142" w:right="140"/>
        <w:jc w:val="right"/>
        <w:rPr>
          <w:b/>
          <w:bCs/>
          <w:i/>
          <w:iCs/>
          <w:highlight w:val="white"/>
        </w:rPr>
      </w:pPr>
      <w:r>
        <w:rPr>
          <w:sz w:val="18"/>
          <w:szCs w:val="18"/>
          <w:highlight w:val="white"/>
        </w:rPr>
        <w:t>в среднем за год к предыдущему году</w:t>
      </w:r>
    </w:p>
    <w:tbl>
      <w:tblPr>
        <w:tblW w:w="9214" w:type="dxa"/>
        <w:tblInd w:w="-5" w:type="dxa"/>
        <w:tblLayout w:type="fixed"/>
        <w:tblLook w:val="04A0" w:firstRow="1" w:lastRow="0" w:firstColumn="1" w:lastColumn="0" w:noHBand="0" w:noVBand="1"/>
      </w:tblPr>
      <w:tblGrid>
        <w:gridCol w:w="3402"/>
        <w:gridCol w:w="1419"/>
        <w:gridCol w:w="1558"/>
        <w:gridCol w:w="1419"/>
        <w:gridCol w:w="1416"/>
      </w:tblGrid>
      <w:tr w:rsidR="00A02ECF">
        <w:tc>
          <w:tcPr>
            <w:tcW w:w="3402" w:type="dxa"/>
            <w:tcBorders>
              <w:top w:val="single" w:sz="4" w:space="0" w:color="000000"/>
              <w:left w:val="single" w:sz="4" w:space="0" w:color="000000"/>
              <w:bottom w:val="single" w:sz="4" w:space="0" w:color="000000"/>
              <w:right w:val="single" w:sz="4" w:space="0" w:color="000000"/>
            </w:tcBorders>
          </w:tcPr>
          <w:p w:rsidR="00A02ECF" w:rsidRDefault="00A02ECF">
            <w:pPr>
              <w:tabs>
                <w:tab w:val="left" w:pos="2506"/>
              </w:tabs>
              <w:ind w:left="142"/>
              <w:jc w:val="both"/>
              <w:rPr>
                <w:b/>
                <w:bCs/>
                <w:i/>
                <w:iCs/>
                <w:highlight w:val="white"/>
              </w:rPr>
            </w:pPr>
          </w:p>
        </w:tc>
        <w:tc>
          <w:tcPr>
            <w:tcW w:w="1419" w:type="dxa"/>
            <w:tcBorders>
              <w:top w:val="single" w:sz="4" w:space="0" w:color="000000"/>
              <w:left w:val="single" w:sz="4" w:space="0" w:color="000000"/>
              <w:bottom w:val="single" w:sz="4" w:space="0" w:color="000000"/>
            </w:tcBorders>
          </w:tcPr>
          <w:p w:rsidR="00A02ECF" w:rsidRDefault="006104A2">
            <w:pPr>
              <w:tabs>
                <w:tab w:val="left" w:pos="2506"/>
              </w:tabs>
              <w:ind w:left="142"/>
              <w:jc w:val="center"/>
              <w:rPr>
                <w:b/>
                <w:bCs/>
                <w:iCs/>
                <w:highlight w:val="white"/>
              </w:rPr>
            </w:pPr>
            <w:r>
              <w:rPr>
                <w:b/>
                <w:bCs/>
                <w:iCs/>
                <w:highlight w:val="white"/>
              </w:rPr>
              <w:t>2022</w:t>
            </w:r>
          </w:p>
        </w:tc>
        <w:tc>
          <w:tcPr>
            <w:tcW w:w="1558" w:type="dxa"/>
            <w:tcBorders>
              <w:top w:val="single" w:sz="4" w:space="0" w:color="000000"/>
              <w:left w:val="single" w:sz="4" w:space="0" w:color="000000"/>
              <w:bottom w:val="single" w:sz="4" w:space="0" w:color="000000"/>
            </w:tcBorders>
          </w:tcPr>
          <w:p w:rsidR="00A02ECF" w:rsidRDefault="006104A2">
            <w:pPr>
              <w:tabs>
                <w:tab w:val="left" w:pos="2506"/>
              </w:tabs>
              <w:ind w:left="142"/>
              <w:jc w:val="center"/>
              <w:rPr>
                <w:b/>
                <w:bCs/>
                <w:iCs/>
                <w:highlight w:val="white"/>
              </w:rPr>
            </w:pPr>
            <w:r>
              <w:rPr>
                <w:b/>
                <w:bCs/>
                <w:iCs/>
                <w:highlight w:val="white"/>
              </w:rPr>
              <w:t>2023</w:t>
            </w:r>
          </w:p>
        </w:tc>
        <w:tc>
          <w:tcPr>
            <w:tcW w:w="1419" w:type="dxa"/>
            <w:tcBorders>
              <w:top w:val="single" w:sz="4" w:space="0" w:color="000000"/>
              <w:left w:val="single" w:sz="4" w:space="0" w:color="000000"/>
              <w:bottom w:val="single" w:sz="4" w:space="0" w:color="000000"/>
            </w:tcBorders>
          </w:tcPr>
          <w:p w:rsidR="00A02ECF" w:rsidRDefault="006104A2">
            <w:pPr>
              <w:tabs>
                <w:tab w:val="left" w:pos="2506"/>
              </w:tabs>
              <w:ind w:left="142"/>
              <w:jc w:val="center"/>
              <w:rPr>
                <w:b/>
                <w:bCs/>
                <w:iCs/>
                <w:highlight w:val="white"/>
              </w:rPr>
            </w:pPr>
            <w:r>
              <w:rPr>
                <w:b/>
                <w:bCs/>
                <w:iCs/>
                <w:highlight w:val="white"/>
              </w:rPr>
              <w:t>2024</w:t>
            </w:r>
          </w:p>
        </w:tc>
        <w:tc>
          <w:tcPr>
            <w:tcW w:w="1416" w:type="dxa"/>
            <w:tcBorders>
              <w:top w:val="single" w:sz="4" w:space="0" w:color="000000"/>
              <w:left w:val="single" w:sz="4" w:space="0" w:color="000000"/>
              <w:bottom w:val="single" w:sz="4" w:space="0" w:color="000000"/>
              <w:right w:val="single" w:sz="4" w:space="0" w:color="000000"/>
            </w:tcBorders>
          </w:tcPr>
          <w:p w:rsidR="00A02ECF" w:rsidRDefault="006104A2">
            <w:pPr>
              <w:tabs>
                <w:tab w:val="left" w:pos="2506"/>
              </w:tabs>
              <w:ind w:left="142"/>
              <w:jc w:val="center"/>
              <w:rPr>
                <w:b/>
                <w:bCs/>
                <w:iCs/>
                <w:highlight w:val="white"/>
              </w:rPr>
            </w:pPr>
            <w:r>
              <w:rPr>
                <w:b/>
                <w:bCs/>
                <w:iCs/>
                <w:highlight w:val="white"/>
              </w:rPr>
              <w:t>2025</w:t>
            </w:r>
          </w:p>
        </w:tc>
      </w:tr>
      <w:tr w:rsidR="00A02ECF">
        <w:tc>
          <w:tcPr>
            <w:tcW w:w="3402" w:type="dxa"/>
            <w:tcBorders>
              <w:top w:val="single" w:sz="4" w:space="0" w:color="000000"/>
              <w:left w:val="single" w:sz="4" w:space="0" w:color="000000"/>
              <w:bottom w:val="single" w:sz="4" w:space="0" w:color="000000"/>
              <w:right w:val="single" w:sz="4" w:space="0" w:color="000000"/>
            </w:tcBorders>
          </w:tcPr>
          <w:p w:rsidR="00A02ECF" w:rsidRDefault="006104A2">
            <w:pPr>
              <w:tabs>
                <w:tab w:val="left" w:pos="2506"/>
              </w:tabs>
              <w:jc w:val="both"/>
              <w:rPr>
                <w:iCs/>
                <w:highlight w:val="white"/>
              </w:rPr>
            </w:pPr>
            <w:r>
              <w:rPr>
                <w:highlight w:val="white"/>
              </w:rPr>
              <w:t>Рост цены, %</w:t>
            </w:r>
            <w:r>
              <w:rPr>
                <w:highlight w:val="white"/>
                <w:vertAlign w:val="superscript"/>
              </w:rPr>
              <w:t>1</w:t>
            </w:r>
          </w:p>
        </w:tc>
        <w:tc>
          <w:tcPr>
            <w:tcW w:w="1419" w:type="dxa"/>
            <w:tcBorders>
              <w:top w:val="single" w:sz="4" w:space="0" w:color="000000"/>
              <w:left w:val="single" w:sz="4" w:space="0" w:color="000000"/>
              <w:bottom w:val="single" w:sz="4" w:space="0" w:color="000000"/>
            </w:tcBorders>
          </w:tcPr>
          <w:p w:rsidR="00A02ECF" w:rsidRDefault="006104A2">
            <w:pPr>
              <w:tabs>
                <w:tab w:val="left" w:pos="2506"/>
              </w:tabs>
              <w:ind w:left="142"/>
              <w:jc w:val="center"/>
              <w:rPr>
                <w:bCs/>
                <w:iCs/>
                <w:highlight w:val="white"/>
              </w:rPr>
            </w:pPr>
            <w:r>
              <w:rPr>
                <w:bCs/>
                <w:iCs/>
                <w:highlight w:val="white"/>
              </w:rPr>
              <w:t>4,2</w:t>
            </w:r>
          </w:p>
        </w:tc>
        <w:tc>
          <w:tcPr>
            <w:tcW w:w="1558" w:type="dxa"/>
            <w:tcBorders>
              <w:top w:val="single" w:sz="4" w:space="0" w:color="000000"/>
              <w:left w:val="single" w:sz="4" w:space="0" w:color="000000"/>
              <w:bottom w:val="single" w:sz="4" w:space="0" w:color="000000"/>
            </w:tcBorders>
          </w:tcPr>
          <w:p w:rsidR="00A02ECF" w:rsidRDefault="006104A2">
            <w:pPr>
              <w:tabs>
                <w:tab w:val="left" w:pos="2506"/>
              </w:tabs>
              <w:ind w:left="142"/>
              <w:jc w:val="center"/>
              <w:rPr>
                <w:bCs/>
                <w:iCs/>
                <w:highlight w:val="white"/>
              </w:rPr>
            </w:pPr>
            <w:r>
              <w:rPr>
                <w:bCs/>
                <w:iCs/>
                <w:highlight w:val="white"/>
              </w:rPr>
              <w:t>10,2</w:t>
            </w:r>
          </w:p>
        </w:tc>
        <w:tc>
          <w:tcPr>
            <w:tcW w:w="1419" w:type="dxa"/>
            <w:tcBorders>
              <w:top w:val="single" w:sz="4" w:space="0" w:color="000000"/>
              <w:left w:val="single" w:sz="4" w:space="0" w:color="000000"/>
              <w:bottom w:val="single" w:sz="4" w:space="0" w:color="000000"/>
            </w:tcBorders>
          </w:tcPr>
          <w:p w:rsidR="00A02ECF" w:rsidRDefault="006104A2">
            <w:pPr>
              <w:tabs>
                <w:tab w:val="left" w:pos="2506"/>
              </w:tabs>
              <w:ind w:left="142"/>
              <w:jc w:val="center"/>
              <w:rPr>
                <w:bCs/>
                <w:iCs/>
                <w:highlight w:val="white"/>
              </w:rPr>
            </w:pPr>
            <w:r>
              <w:rPr>
                <w:bCs/>
                <w:iCs/>
                <w:highlight w:val="white"/>
              </w:rPr>
              <w:t>6,5</w:t>
            </w:r>
          </w:p>
        </w:tc>
        <w:tc>
          <w:tcPr>
            <w:tcW w:w="1416" w:type="dxa"/>
            <w:tcBorders>
              <w:top w:val="single" w:sz="4" w:space="0" w:color="000000"/>
              <w:left w:val="single" w:sz="4" w:space="0" w:color="000000"/>
              <w:bottom w:val="single" w:sz="4" w:space="0" w:color="000000"/>
              <w:right w:val="single" w:sz="4" w:space="0" w:color="000000"/>
            </w:tcBorders>
          </w:tcPr>
          <w:p w:rsidR="00A02ECF" w:rsidRDefault="006104A2">
            <w:pPr>
              <w:tabs>
                <w:tab w:val="left" w:pos="2506"/>
              </w:tabs>
              <w:ind w:left="142"/>
              <w:jc w:val="center"/>
              <w:rPr>
                <w:bCs/>
                <w:iCs/>
                <w:highlight w:val="white"/>
              </w:rPr>
            </w:pPr>
            <w:r>
              <w:rPr>
                <w:bCs/>
                <w:iCs/>
                <w:highlight w:val="white"/>
              </w:rPr>
              <w:t>12,9</w:t>
            </w:r>
          </w:p>
        </w:tc>
      </w:tr>
    </w:tbl>
    <w:p w:rsidR="00A02ECF" w:rsidRDefault="006104A2">
      <w:pPr>
        <w:tabs>
          <w:tab w:val="left" w:pos="2506"/>
        </w:tabs>
        <w:jc w:val="both"/>
        <w:rPr>
          <w:sz w:val="18"/>
          <w:szCs w:val="18"/>
          <w:highlight w:val="white"/>
        </w:rPr>
      </w:pPr>
      <w:r>
        <w:rPr>
          <w:sz w:val="18"/>
          <w:szCs w:val="18"/>
          <w:highlight w:val="white"/>
          <w:vertAlign w:val="superscript"/>
        </w:rPr>
        <w:t>1</w:t>
      </w:r>
      <w:r>
        <w:rPr>
          <w:sz w:val="18"/>
          <w:szCs w:val="18"/>
          <w:highlight w:val="white"/>
        </w:rPr>
        <w:t xml:space="preserve">Без учета новых и дополнительных объемов газа, реализуемых в соответствии с Постановлением Правительства Российской Федерации от 28.05.2007 № 333 </w:t>
      </w:r>
      <w:r>
        <w:rPr>
          <w:sz w:val="18"/>
          <w:szCs w:val="18"/>
        </w:rPr>
        <w:t>«О совершенствовании государственного регулирования цен на газ»</w:t>
      </w:r>
      <w:r>
        <w:rPr>
          <w:sz w:val="18"/>
          <w:szCs w:val="18"/>
          <w:highlight w:val="white"/>
        </w:rPr>
        <w:t>.</w:t>
      </w:r>
    </w:p>
    <w:p w:rsidR="00A02ECF" w:rsidRDefault="006104A2">
      <w:pPr>
        <w:tabs>
          <w:tab w:val="left" w:pos="2506"/>
        </w:tabs>
        <w:spacing w:before="120"/>
        <w:jc w:val="both"/>
        <w:rPr>
          <w:b/>
          <w:bCs/>
          <w:i/>
          <w:iCs/>
          <w:highlight w:val="white"/>
        </w:rPr>
      </w:pPr>
      <w:r>
        <w:rPr>
          <w:b/>
          <w:bCs/>
          <w:i/>
          <w:iCs/>
          <w:highlight w:val="white"/>
        </w:rPr>
        <w:t>Параметры изменения цен на газ в соответствии с</w:t>
      </w:r>
      <w:r>
        <w:rPr>
          <w:b/>
          <w:bCs/>
          <w:i/>
          <w:iCs/>
        </w:rPr>
        <w:t xml:space="preserve"> прогнозом социально-экономического развития Российской Федерации на 2026 год и на плановый период 2027 и 2028 годов (от 26.09.2025) и</w:t>
      </w:r>
      <w:r>
        <w:rPr>
          <w:b/>
          <w:bCs/>
          <w:i/>
          <w:iCs/>
          <w:highlight w:val="white"/>
        </w:rPr>
        <w:t xml:space="preserve"> приказами ФАС России от 29.12.2025 № 1213/25, № 1214/25, № 1217/25, № 1218/25 об индексации оптовых цен на газ для всех групп потребителей в зоне ЕСГ, а также для потребителей ДФО, следующие:</w:t>
      </w:r>
    </w:p>
    <w:tbl>
      <w:tblPr>
        <w:tblW w:w="9214" w:type="dxa"/>
        <w:tblInd w:w="-5" w:type="dxa"/>
        <w:tblLayout w:type="fixed"/>
        <w:tblLook w:val="04A0" w:firstRow="1" w:lastRow="0" w:firstColumn="1" w:lastColumn="0" w:noHBand="0" w:noVBand="1"/>
      </w:tblPr>
      <w:tblGrid>
        <w:gridCol w:w="4253"/>
        <w:gridCol w:w="1559"/>
        <w:gridCol w:w="1701"/>
        <w:gridCol w:w="1701"/>
      </w:tblGrid>
      <w:tr w:rsidR="00A02ECF">
        <w:trPr>
          <w:tblHeader/>
        </w:trPr>
        <w:tc>
          <w:tcPr>
            <w:tcW w:w="4253" w:type="dxa"/>
            <w:tcBorders>
              <w:top w:val="single" w:sz="4" w:space="0" w:color="000000"/>
              <w:left w:val="single" w:sz="4" w:space="0" w:color="000000"/>
              <w:bottom w:val="single" w:sz="4" w:space="0" w:color="000000"/>
              <w:right w:val="single" w:sz="4" w:space="0" w:color="000000"/>
            </w:tcBorders>
          </w:tcPr>
          <w:p w:rsidR="00A02ECF" w:rsidRDefault="006104A2">
            <w:pPr>
              <w:tabs>
                <w:tab w:val="left" w:pos="2506"/>
              </w:tabs>
              <w:ind w:left="142"/>
              <w:jc w:val="center"/>
              <w:rPr>
                <w:b/>
                <w:bCs/>
                <w:sz w:val="18"/>
                <w:szCs w:val="18"/>
                <w:highlight w:val="white"/>
              </w:rPr>
            </w:pPr>
            <w:r>
              <w:rPr>
                <w:b/>
                <w:bCs/>
                <w:sz w:val="18"/>
                <w:szCs w:val="18"/>
                <w:highlight w:val="white"/>
              </w:rPr>
              <w:t>Сроки проведения индексации</w:t>
            </w:r>
          </w:p>
        </w:tc>
        <w:tc>
          <w:tcPr>
            <w:tcW w:w="1559" w:type="dxa"/>
            <w:tcBorders>
              <w:top w:val="single" w:sz="4" w:space="0" w:color="000000"/>
              <w:left w:val="single" w:sz="4" w:space="0" w:color="000000"/>
              <w:bottom w:val="single" w:sz="4" w:space="0" w:color="000000"/>
              <w:right w:val="single" w:sz="4" w:space="0" w:color="000000"/>
            </w:tcBorders>
          </w:tcPr>
          <w:p w:rsidR="00A02ECF" w:rsidRDefault="006104A2">
            <w:pPr>
              <w:tabs>
                <w:tab w:val="left" w:pos="2506"/>
              </w:tabs>
              <w:ind w:left="142"/>
              <w:jc w:val="center"/>
              <w:rPr>
                <w:b/>
                <w:bCs/>
                <w:sz w:val="18"/>
                <w:szCs w:val="18"/>
                <w:highlight w:val="white"/>
              </w:rPr>
            </w:pPr>
            <w:r>
              <w:rPr>
                <w:b/>
                <w:bCs/>
                <w:sz w:val="18"/>
                <w:szCs w:val="18"/>
                <w:highlight w:val="white"/>
              </w:rPr>
              <w:t>01.10.2026</w:t>
            </w:r>
          </w:p>
        </w:tc>
        <w:tc>
          <w:tcPr>
            <w:tcW w:w="1701" w:type="dxa"/>
            <w:tcBorders>
              <w:top w:val="single" w:sz="4" w:space="0" w:color="000000"/>
              <w:left w:val="single" w:sz="4" w:space="0" w:color="000000"/>
              <w:bottom w:val="single" w:sz="4" w:space="0" w:color="000000"/>
              <w:right w:val="single" w:sz="4" w:space="0" w:color="000000"/>
            </w:tcBorders>
          </w:tcPr>
          <w:p w:rsidR="00A02ECF" w:rsidRDefault="006104A2">
            <w:pPr>
              <w:tabs>
                <w:tab w:val="left" w:pos="2506"/>
              </w:tabs>
              <w:ind w:left="142"/>
              <w:jc w:val="center"/>
              <w:rPr>
                <w:b/>
                <w:bCs/>
                <w:sz w:val="18"/>
                <w:szCs w:val="18"/>
                <w:highlight w:val="white"/>
              </w:rPr>
            </w:pPr>
            <w:r>
              <w:rPr>
                <w:b/>
                <w:bCs/>
                <w:sz w:val="18"/>
                <w:szCs w:val="18"/>
                <w:highlight w:val="white"/>
              </w:rPr>
              <w:t>01.07.2027</w:t>
            </w:r>
          </w:p>
        </w:tc>
        <w:tc>
          <w:tcPr>
            <w:tcW w:w="1701" w:type="dxa"/>
            <w:tcBorders>
              <w:top w:val="single" w:sz="4" w:space="0" w:color="000000"/>
              <w:left w:val="single" w:sz="4" w:space="0" w:color="000000"/>
              <w:bottom w:val="single" w:sz="4" w:space="0" w:color="000000"/>
              <w:right w:val="single" w:sz="4" w:space="0" w:color="000000"/>
            </w:tcBorders>
          </w:tcPr>
          <w:p w:rsidR="00A02ECF" w:rsidRDefault="006104A2">
            <w:pPr>
              <w:tabs>
                <w:tab w:val="left" w:pos="2506"/>
              </w:tabs>
              <w:ind w:left="142"/>
              <w:jc w:val="center"/>
              <w:rPr>
                <w:b/>
                <w:bCs/>
                <w:sz w:val="18"/>
                <w:szCs w:val="18"/>
                <w:highlight w:val="white"/>
              </w:rPr>
            </w:pPr>
            <w:r>
              <w:rPr>
                <w:b/>
                <w:bCs/>
                <w:sz w:val="18"/>
                <w:szCs w:val="18"/>
              </w:rPr>
              <w:t>01.07.2028</w:t>
            </w:r>
          </w:p>
        </w:tc>
      </w:tr>
      <w:tr w:rsidR="00A02ECF">
        <w:trPr>
          <w:trHeight w:val="433"/>
        </w:trPr>
        <w:tc>
          <w:tcPr>
            <w:tcW w:w="4253" w:type="dxa"/>
            <w:tcBorders>
              <w:top w:val="single" w:sz="4" w:space="0" w:color="000000"/>
              <w:left w:val="single" w:sz="4" w:space="0" w:color="000000"/>
              <w:bottom w:val="single" w:sz="4" w:space="0" w:color="000000"/>
              <w:right w:val="single" w:sz="4" w:space="0" w:color="000000"/>
            </w:tcBorders>
            <w:vAlign w:val="center"/>
          </w:tcPr>
          <w:p w:rsidR="00A02ECF" w:rsidRDefault="006104A2">
            <w:pPr>
              <w:pStyle w:val="Default"/>
              <w:ind w:left="38"/>
              <w:rPr>
                <w:sz w:val="20"/>
                <w:szCs w:val="20"/>
                <w:highlight w:val="white"/>
                <w:vertAlign w:val="superscript"/>
              </w:rPr>
            </w:pPr>
            <w:r>
              <w:rPr>
                <w:sz w:val="20"/>
                <w:szCs w:val="20"/>
                <w:highlight w:val="white"/>
              </w:rPr>
              <w:t>индексация оптовых цен для всех категорий потребителей, исключая население, %</w:t>
            </w:r>
          </w:p>
        </w:tc>
        <w:tc>
          <w:tcPr>
            <w:tcW w:w="1559" w:type="dxa"/>
            <w:tcBorders>
              <w:top w:val="single" w:sz="4" w:space="0" w:color="000000"/>
              <w:left w:val="single" w:sz="4" w:space="0" w:color="000000"/>
              <w:bottom w:val="single" w:sz="4" w:space="0" w:color="000000"/>
              <w:right w:val="single" w:sz="4" w:space="0" w:color="000000"/>
            </w:tcBorders>
            <w:vAlign w:val="center"/>
          </w:tcPr>
          <w:p w:rsidR="00A02ECF" w:rsidRDefault="006104A2">
            <w:pPr>
              <w:tabs>
                <w:tab w:val="left" w:pos="2506"/>
              </w:tabs>
              <w:ind w:left="142"/>
              <w:jc w:val="center"/>
              <w:rPr>
                <w:highlight w:val="white"/>
              </w:rPr>
            </w:pPr>
            <w:r>
              <w:rPr>
                <w:color w:val="000000"/>
                <w:highlight w:val="white"/>
              </w:rPr>
              <w:t>9,6</w:t>
            </w:r>
          </w:p>
        </w:tc>
        <w:tc>
          <w:tcPr>
            <w:tcW w:w="1701" w:type="dxa"/>
            <w:tcBorders>
              <w:top w:val="single" w:sz="4" w:space="0" w:color="000000"/>
              <w:left w:val="single" w:sz="4" w:space="0" w:color="000000"/>
              <w:bottom w:val="single" w:sz="4" w:space="0" w:color="000000"/>
              <w:right w:val="single" w:sz="4" w:space="0" w:color="000000"/>
            </w:tcBorders>
            <w:vAlign w:val="center"/>
          </w:tcPr>
          <w:p w:rsidR="00A02ECF" w:rsidRDefault="006104A2">
            <w:pPr>
              <w:tabs>
                <w:tab w:val="left" w:pos="2506"/>
              </w:tabs>
              <w:ind w:left="142"/>
              <w:jc w:val="center"/>
              <w:rPr>
                <w:highlight w:val="white"/>
              </w:rPr>
            </w:pPr>
            <w:r>
              <w:rPr>
                <w:color w:val="000000"/>
                <w:highlight w:val="white"/>
              </w:rPr>
              <w:t>9,1</w:t>
            </w:r>
          </w:p>
        </w:tc>
        <w:tc>
          <w:tcPr>
            <w:tcW w:w="1701" w:type="dxa"/>
            <w:tcBorders>
              <w:top w:val="single" w:sz="4" w:space="0" w:color="000000"/>
              <w:left w:val="single" w:sz="4" w:space="0" w:color="000000"/>
              <w:bottom w:val="single" w:sz="4" w:space="0" w:color="000000"/>
              <w:right w:val="single" w:sz="4" w:space="0" w:color="000000"/>
            </w:tcBorders>
            <w:vAlign w:val="center"/>
          </w:tcPr>
          <w:p w:rsidR="00A02ECF" w:rsidRDefault="006104A2">
            <w:pPr>
              <w:tabs>
                <w:tab w:val="left" w:pos="2506"/>
              </w:tabs>
              <w:ind w:left="142"/>
              <w:jc w:val="center"/>
              <w:rPr>
                <w:highlight w:val="white"/>
              </w:rPr>
            </w:pPr>
            <w:r>
              <w:rPr>
                <w:color w:val="000000"/>
                <w:highlight w:val="white"/>
              </w:rPr>
              <w:t>7,0</w:t>
            </w:r>
          </w:p>
        </w:tc>
      </w:tr>
      <w:tr w:rsidR="00A02ECF">
        <w:trPr>
          <w:trHeight w:val="433"/>
        </w:trPr>
        <w:tc>
          <w:tcPr>
            <w:tcW w:w="4253" w:type="dxa"/>
            <w:tcBorders>
              <w:top w:val="single" w:sz="4" w:space="0" w:color="000000"/>
              <w:left w:val="single" w:sz="4" w:space="0" w:color="000000"/>
              <w:bottom w:val="single" w:sz="4" w:space="0" w:color="000000"/>
              <w:right w:val="single" w:sz="4" w:space="0" w:color="000000"/>
            </w:tcBorders>
            <w:vAlign w:val="center"/>
          </w:tcPr>
          <w:p w:rsidR="00A02ECF" w:rsidRDefault="006104A2">
            <w:pPr>
              <w:pStyle w:val="Default"/>
              <w:ind w:left="38"/>
              <w:rPr>
                <w:highlight w:val="white"/>
              </w:rPr>
            </w:pPr>
            <w:r>
              <w:rPr>
                <w:sz w:val="20"/>
                <w:szCs w:val="20"/>
                <w:highlight w:val="white"/>
              </w:rPr>
              <w:t>индексация оптовых цен для населения</w:t>
            </w:r>
            <w:r>
              <w:rPr>
                <w:highlight w:val="white"/>
              </w:rPr>
              <w:t>, %</w:t>
            </w:r>
          </w:p>
        </w:tc>
        <w:tc>
          <w:tcPr>
            <w:tcW w:w="1559" w:type="dxa"/>
            <w:tcBorders>
              <w:top w:val="single" w:sz="4" w:space="0" w:color="000000"/>
              <w:left w:val="single" w:sz="4" w:space="0" w:color="000000"/>
              <w:bottom w:val="single" w:sz="4" w:space="0" w:color="000000"/>
              <w:right w:val="single" w:sz="4" w:space="0" w:color="000000"/>
            </w:tcBorders>
            <w:vAlign w:val="center"/>
          </w:tcPr>
          <w:p w:rsidR="00A02ECF" w:rsidRDefault="006104A2">
            <w:pPr>
              <w:tabs>
                <w:tab w:val="left" w:pos="2506"/>
              </w:tabs>
              <w:ind w:left="142"/>
              <w:jc w:val="center"/>
              <w:rPr>
                <w:highlight w:val="white"/>
              </w:rPr>
            </w:pPr>
            <w:r>
              <w:rPr>
                <w:color w:val="000000"/>
                <w:highlight w:val="white"/>
              </w:rPr>
              <w:t>9,6</w:t>
            </w:r>
          </w:p>
        </w:tc>
        <w:tc>
          <w:tcPr>
            <w:tcW w:w="1701" w:type="dxa"/>
            <w:tcBorders>
              <w:top w:val="single" w:sz="4" w:space="0" w:color="000000"/>
              <w:left w:val="single" w:sz="4" w:space="0" w:color="000000"/>
              <w:bottom w:val="single" w:sz="4" w:space="0" w:color="000000"/>
              <w:right w:val="single" w:sz="4" w:space="0" w:color="000000"/>
            </w:tcBorders>
            <w:vAlign w:val="center"/>
          </w:tcPr>
          <w:p w:rsidR="00A02ECF" w:rsidRDefault="006104A2">
            <w:pPr>
              <w:tabs>
                <w:tab w:val="left" w:pos="2506"/>
              </w:tabs>
              <w:ind w:left="142"/>
              <w:jc w:val="center"/>
              <w:rPr>
                <w:highlight w:val="white"/>
              </w:rPr>
            </w:pPr>
            <w:r>
              <w:rPr>
                <w:color w:val="000000"/>
                <w:highlight w:val="white"/>
              </w:rPr>
              <w:t>9,1</w:t>
            </w:r>
          </w:p>
        </w:tc>
        <w:tc>
          <w:tcPr>
            <w:tcW w:w="1701" w:type="dxa"/>
            <w:tcBorders>
              <w:top w:val="single" w:sz="4" w:space="0" w:color="000000"/>
              <w:left w:val="single" w:sz="4" w:space="0" w:color="000000"/>
              <w:bottom w:val="single" w:sz="4" w:space="0" w:color="000000"/>
              <w:right w:val="single" w:sz="4" w:space="0" w:color="000000"/>
            </w:tcBorders>
            <w:vAlign w:val="center"/>
          </w:tcPr>
          <w:p w:rsidR="00A02ECF" w:rsidRDefault="006104A2">
            <w:pPr>
              <w:tabs>
                <w:tab w:val="left" w:pos="2506"/>
              </w:tabs>
              <w:ind w:left="142"/>
              <w:jc w:val="center"/>
              <w:rPr>
                <w:highlight w:val="white"/>
              </w:rPr>
            </w:pPr>
            <w:r>
              <w:rPr>
                <w:color w:val="000000"/>
                <w:highlight w:val="white"/>
              </w:rPr>
              <w:t>7,0</w:t>
            </w:r>
          </w:p>
        </w:tc>
      </w:tr>
    </w:tbl>
    <w:p w:rsidR="00A02ECF" w:rsidRDefault="006104A2">
      <w:pPr>
        <w:spacing w:before="120"/>
        <w:jc w:val="both"/>
        <w:rPr>
          <w:highlight w:val="white"/>
        </w:rPr>
      </w:pPr>
      <w:r>
        <w:rPr>
          <w:b/>
          <w:i/>
          <w:highlight w:val="white"/>
        </w:rPr>
        <w:t>Федеральная антимонопольная служба осуществляет регулирование тарифов на услуги по</w:t>
      </w:r>
      <w:r>
        <w:rPr>
          <w:b/>
          <w:i/>
          <w:highlight w:val="white"/>
          <w:lang w:val="en-US"/>
        </w:rPr>
        <w:t> </w:t>
      </w:r>
      <w:r>
        <w:rPr>
          <w:b/>
          <w:i/>
          <w:highlight w:val="white"/>
        </w:rPr>
        <w:t>транспортировке газа по магистральным газопроводам ПАО «Газпром», оказываемые независимым организациям, тарифов на услуги по транспортировке газа по газораспределительным сетям, а также платы за снабженческо-сбытовые услуги, оказываемые конечным потребителям газа.</w:t>
      </w:r>
    </w:p>
    <w:p w:rsidR="00A02ECF" w:rsidRDefault="006104A2">
      <w:pPr>
        <w:tabs>
          <w:tab w:val="left" w:pos="2506"/>
        </w:tabs>
        <w:spacing w:before="120"/>
        <w:jc w:val="both"/>
        <w:rPr>
          <w:b/>
          <w:bCs/>
          <w:i/>
          <w:iCs/>
        </w:rPr>
      </w:pPr>
      <w:r>
        <w:rPr>
          <w:b/>
          <w:bCs/>
          <w:i/>
          <w:iCs/>
          <w:highlight w:val="white"/>
        </w:rPr>
        <w:t>В условиях сохранения в Российской Федерации двухсекторной модели ценообразования на газ, поставляемый на внутренний рынок, а также дифференциации оптовых цен на газ для различных категорий потребителей, сохраняется риск формирования у Компании финансовых ресурсов в размерах, не достаточных для осуществления необходимых вложений в поддержание и</w:t>
      </w:r>
      <w:r>
        <w:rPr>
          <w:b/>
          <w:bCs/>
          <w:i/>
          <w:iCs/>
          <w:highlight w:val="white"/>
          <w:lang w:val="en-US"/>
        </w:rPr>
        <w:t> </w:t>
      </w:r>
      <w:r>
        <w:rPr>
          <w:b/>
          <w:bCs/>
          <w:i/>
          <w:iCs/>
          <w:highlight w:val="white"/>
        </w:rPr>
        <w:t xml:space="preserve">развитие газотранспортной системы. </w:t>
      </w:r>
    </w:p>
    <w:p w:rsidR="00A02ECF" w:rsidRDefault="006104A2">
      <w:pPr>
        <w:tabs>
          <w:tab w:val="left" w:pos="2506"/>
        </w:tabs>
        <w:spacing w:before="120"/>
        <w:jc w:val="both"/>
        <w:rPr>
          <w:b/>
          <w:bCs/>
          <w:i/>
          <w:iCs/>
          <w:highlight w:val="white"/>
        </w:rPr>
      </w:pPr>
      <w:r>
        <w:rPr>
          <w:b/>
          <w:bCs/>
          <w:i/>
          <w:iCs/>
          <w:highlight w:val="white"/>
        </w:rPr>
        <w:t>ПАО «Газпром» последовательно выступает за выравнивание условий хозяйствования для всех участников российского рынка газа, а также за формирование регулируемых оптовых цен на газ и тарифов на</w:t>
      </w:r>
      <w:r>
        <w:rPr>
          <w:b/>
          <w:bCs/>
          <w:i/>
          <w:iCs/>
          <w:highlight w:val="white"/>
          <w:lang w:val="en-US"/>
        </w:rPr>
        <w:t> </w:t>
      </w:r>
      <w:r>
        <w:rPr>
          <w:b/>
          <w:bCs/>
          <w:i/>
          <w:iCs/>
          <w:highlight w:val="white"/>
        </w:rPr>
        <w:t xml:space="preserve">услуги по транспортировке газа независимых производителей в соответствии с экономически обоснованными уровнями, что будет способствовать повышению устойчивости развития газовой отрасли и росту энергетической эффективности национальной экономики. </w:t>
      </w:r>
    </w:p>
    <w:p w:rsidR="00A02ECF" w:rsidRDefault="006104A2">
      <w:pPr>
        <w:spacing w:before="120"/>
        <w:jc w:val="both"/>
        <w:rPr>
          <w:b/>
          <w:bCs/>
          <w:i/>
          <w:iCs/>
          <w:spacing w:val="-4"/>
          <w:highlight w:val="white"/>
        </w:rPr>
      </w:pPr>
      <w:r>
        <w:rPr>
          <w:b/>
          <w:bCs/>
          <w:i/>
          <w:iCs/>
          <w:spacing w:val="-4"/>
          <w:highlight w:val="white"/>
        </w:rPr>
        <w:t xml:space="preserve">Федеральным законом от 21.11.2022 № 443-ФЗ «О внесении изменений в статью 4 части первой, часть вторую Налогового кодекса Российской Федерации и отдельные законодательные акты Российской </w:t>
      </w:r>
      <w:r>
        <w:rPr>
          <w:b/>
          <w:bCs/>
          <w:i/>
          <w:iCs/>
          <w:spacing w:val="-4"/>
          <w:highlight w:val="white"/>
        </w:rPr>
        <w:lastRenderedPageBreak/>
        <w:t>Федерации» на период с 2023 по 2025 годы для Группы Газпром была установлена повышенная нагрузка по НДПИ на газ на общую сумму 1,8 трлн рублей. Федеральным законом от 29.10.2024 № 362-ФЗ «О внесении изменений в части первую и вторую Налогового кодекса Российской Федерации и отдельные законодательные акты Российской Федерации» для Группы Газпром с 01.01.2025 отменена дополнительная надбавка к НДПИ на газ в размере 600 млрд рублей.</w:t>
      </w:r>
    </w:p>
    <w:p w:rsidR="00A02ECF" w:rsidRDefault="006104A2">
      <w:pPr>
        <w:spacing w:before="120"/>
        <w:jc w:val="both"/>
        <w:rPr>
          <w:b/>
          <w:bCs/>
          <w:i/>
          <w:iCs/>
          <w:highlight w:val="white"/>
        </w:rPr>
      </w:pPr>
      <w:r>
        <w:rPr>
          <w:b/>
          <w:bCs/>
          <w:i/>
          <w:iCs/>
          <w:highlight w:val="white"/>
        </w:rPr>
        <w:t xml:space="preserve">Кроме того, </w:t>
      </w:r>
      <w:r>
        <w:rPr>
          <w:b/>
          <w:bCs/>
          <w:i/>
          <w:iCs/>
          <w:color w:val="000000"/>
          <w:highlight w:val="white"/>
        </w:rPr>
        <w:t>Федеральным законом от 29.11.2024 № 416-ФЗ «О внесении изменений в часть вторую Налогового кодекса Российской Федерации и отдельные законодательные акты Российской Федерации»</w:t>
      </w:r>
      <w:r>
        <w:rPr>
          <w:b/>
          <w:bCs/>
          <w:i/>
          <w:iCs/>
          <w:highlight w:val="white"/>
        </w:rPr>
        <w:t xml:space="preserve"> на период с 2025 по 2029 годы приостановлено применение вычета по НДПИ на газовый конденсат, направленный на производство широкой фракции легких углеводородов.</w:t>
      </w:r>
    </w:p>
    <w:p w:rsidR="00A02ECF" w:rsidRDefault="006104A2">
      <w:pPr>
        <w:spacing w:before="120"/>
        <w:jc w:val="both"/>
        <w:rPr>
          <w:rFonts w:eastAsiaTheme="minorHAnsi" w:cstheme="minorBidi"/>
          <w:b/>
          <w:bCs/>
          <w:i/>
          <w:iCs/>
          <w:spacing w:val="-4"/>
          <w:highlight w:val="white"/>
        </w:rPr>
      </w:pPr>
      <w:r>
        <w:rPr>
          <w:rFonts w:eastAsiaTheme="minorHAnsi" w:cstheme="minorBidi"/>
          <w:b/>
          <w:bCs/>
          <w:i/>
          <w:iCs/>
          <w:spacing w:val="-4"/>
          <w:highlight w:val="white"/>
        </w:rPr>
        <w:t>Федеральным законом от 28.11.2025 № 425-ФЗ «О внесении изменений в части первую и вторую Налогового кодекса Российской Федерации,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Налоговый кодекс Российской Федерации внесены изменения, в соответствии с которыми:</w:t>
      </w:r>
    </w:p>
    <w:p w:rsidR="00A02ECF" w:rsidRDefault="006104A2">
      <w:pPr>
        <w:spacing w:before="120"/>
        <w:ind w:firstLine="142"/>
        <w:jc w:val="both"/>
        <w:rPr>
          <w:rFonts w:eastAsiaTheme="minorHAnsi" w:cstheme="minorBidi"/>
          <w:b/>
          <w:bCs/>
          <w:i/>
          <w:iCs/>
          <w:spacing w:val="-4"/>
          <w:highlight w:val="white"/>
        </w:rPr>
      </w:pPr>
      <w:r>
        <w:rPr>
          <w:rFonts w:eastAsiaTheme="minorHAnsi" w:cstheme="minorBidi"/>
          <w:b/>
          <w:bCs/>
          <w:i/>
          <w:iCs/>
          <w:spacing w:val="-4"/>
          <w:highlight w:val="white"/>
        </w:rPr>
        <w:t>- с 01.01.2026 в формуле НДПИ на газ отменен показатель Ккг2023 с одновременным повышением значения показателя Ккг с 305 руб./1000 куб. м (с 01.07.2025 по 31.12.2025) до 486 руб./1000 куб. м на период с 01.01.2026 по 30.09.2026, до 494 руб./1000 куб. м с 01.10.2026. При этом в отношении газа, добываемого на месторождениях, расположенных в Иркутской области и(или) Республике Саха (Якутия), а также газа, направляемого на производство СПГ, при расчете ставки НДПИ сохранено значение Ккг в размере 305 руб./1000 куб. м;</w:t>
      </w:r>
    </w:p>
    <w:p w:rsidR="00A02ECF" w:rsidRDefault="006104A2">
      <w:pPr>
        <w:spacing w:before="120"/>
        <w:ind w:firstLine="142"/>
        <w:jc w:val="both"/>
        <w:rPr>
          <w:rFonts w:eastAsiaTheme="minorHAnsi" w:cstheme="minorBidi"/>
          <w:b/>
          <w:bCs/>
          <w:i/>
          <w:iCs/>
          <w:spacing w:val="-4"/>
          <w:highlight w:val="white"/>
        </w:rPr>
      </w:pPr>
      <w:r>
        <w:rPr>
          <w:rFonts w:eastAsiaTheme="minorHAnsi" w:cstheme="minorBidi"/>
          <w:b/>
          <w:bCs/>
          <w:i/>
          <w:iCs/>
          <w:spacing w:val="-4"/>
          <w:highlight w:val="white"/>
        </w:rPr>
        <w:t>- предусмотрен вычет из НДПИ на газ для Группы Газпром в размере: 2 444 млн руб./мес. на период с 01.11.2026 по 31.07.2027, 3 500 млн руб./мес. на период с 01.08.2027 по 31.07.2028, 5 500 млн руб./мес. на период с 01.08.2028.</w:t>
      </w:r>
    </w:p>
    <w:p w:rsidR="00A02ECF" w:rsidRDefault="006104A2">
      <w:pPr>
        <w:spacing w:before="120"/>
        <w:jc w:val="both"/>
        <w:rPr>
          <w:b/>
          <w:bCs/>
          <w:i/>
          <w:highlight w:val="white"/>
        </w:rPr>
      </w:pPr>
      <w:r>
        <w:rPr>
          <w:b/>
          <w:i/>
          <w:highlight w:val="white"/>
        </w:rPr>
        <w:t>Постановлением от 12.12.2025 № 2019 «Об индексации цен (тарифов) в сфере газоснабжения», Правительство Российской Федерации приняло решение установить:</w:t>
      </w:r>
    </w:p>
    <w:p w:rsidR="00A02ECF" w:rsidRDefault="006104A2">
      <w:pPr>
        <w:spacing w:before="120"/>
        <w:ind w:firstLine="142"/>
        <w:jc w:val="both"/>
        <w:rPr>
          <w:b/>
          <w:bCs/>
          <w:i/>
        </w:rPr>
      </w:pPr>
      <w:r>
        <w:rPr>
          <w:b/>
          <w:i/>
          <w:highlight w:val="white"/>
        </w:rPr>
        <w:t>- оптовые цены на природный газ, добываемый и реализуемый потребителям Российской Федерации, в размере, увеличенном с 1 октября 2026 г. на 9,6 процента;</w:t>
      </w:r>
    </w:p>
    <w:p w:rsidR="00A02ECF" w:rsidRDefault="006104A2">
      <w:pPr>
        <w:spacing w:before="120"/>
        <w:ind w:firstLine="142"/>
        <w:jc w:val="both"/>
        <w:rPr>
          <w:b/>
          <w:i/>
          <w:highlight w:val="white"/>
        </w:rPr>
      </w:pPr>
      <w:r>
        <w:rPr>
          <w:b/>
          <w:i/>
          <w:highlight w:val="white"/>
        </w:rPr>
        <w:t>- тарифы на услуги по транспортировке газа по газораспределительным сетям для газораспределительных организаций, являющихся исполнителями, соисполнителями или участниками региональных и межрегиональных программ газификации жилищно-коммунального хозяйства, промышленных и иных организаций в размере, увеличенном с 1 октября 2026 г. на 11,6 процента, с 1 июля 2027 г. - на 11,1 процента, с 1 июля 2028 года - на 7 процентов;</w:t>
      </w:r>
    </w:p>
    <w:p w:rsidR="00A02ECF" w:rsidRDefault="006104A2">
      <w:pPr>
        <w:spacing w:before="120"/>
        <w:ind w:firstLine="142"/>
        <w:jc w:val="both"/>
        <w:rPr>
          <w:b/>
          <w:i/>
          <w:highlight w:val="white"/>
        </w:rPr>
      </w:pPr>
      <w:r>
        <w:rPr>
          <w:b/>
          <w:i/>
          <w:highlight w:val="white"/>
        </w:rPr>
        <w:t>- размер платы за снабженческо-сбытовые услуги, оказываемые потребителям газа его поставщиками, увеличенный с 1 октября 2026 г. на 5,1 процента.</w:t>
      </w:r>
    </w:p>
    <w:p w:rsidR="00A02ECF" w:rsidRDefault="006104A2">
      <w:pPr>
        <w:spacing w:before="120"/>
        <w:jc w:val="both"/>
        <w:rPr>
          <w:b/>
          <w:bCs/>
          <w:i/>
          <w:highlight w:val="white"/>
        </w:rPr>
      </w:pPr>
      <w:r>
        <w:rPr>
          <w:b/>
          <w:i/>
        </w:rPr>
        <w:t>Во исполнение постановления Правительства Российской Федерации от 12.12.2025 № 2019 приказами ФАС России от 29 декабря 2025 г. № 1213/25, 1214/25, 1217/25 и 1218/25 с 1 октября 2026 г. предусмотрена индексация оптовых цен на природный газ, добываемый ПАО «Газпром» и его аффилированными лицами, реализуемый потребителям Российской Федерации на 9,6%.</w:t>
      </w:r>
    </w:p>
    <w:p w:rsidR="00A02ECF" w:rsidRDefault="00A02ECF">
      <w:pPr>
        <w:tabs>
          <w:tab w:val="left" w:pos="2506"/>
        </w:tabs>
        <w:spacing w:before="120" w:after="0"/>
        <w:rPr>
          <w:b/>
          <w:bCs/>
          <w:i/>
          <w:iCs/>
          <w:u w:val="single"/>
        </w:rPr>
      </w:pPr>
    </w:p>
    <w:p w:rsidR="00A02ECF" w:rsidRDefault="006104A2">
      <w:pPr>
        <w:tabs>
          <w:tab w:val="left" w:pos="2506"/>
        </w:tabs>
        <w:spacing w:before="120"/>
        <w:rPr>
          <w:b/>
          <w:bCs/>
          <w:i/>
          <w:iCs/>
          <w:u w:val="single"/>
        </w:rPr>
      </w:pPr>
      <w:r>
        <w:rPr>
          <w:b/>
          <w:bCs/>
          <w:i/>
          <w:iCs/>
          <w:u w:val="single"/>
        </w:rPr>
        <w:t>Риски, связанные с либерализацией экспорта СПГ из Российской Федерации</w:t>
      </w:r>
    </w:p>
    <w:p w:rsidR="00A02ECF" w:rsidRDefault="006104A2">
      <w:pPr>
        <w:tabs>
          <w:tab w:val="left" w:pos="2506"/>
        </w:tabs>
        <w:spacing w:before="120"/>
        <w:jc w:val="both"/>
        <w:rPr>
          <w:b/>
          <w:bCs/>
          <w:i/>
          <w:iCs/>
        </w:rPr>
      </w:pPr>
      <w:r>
        <w:rPr>
          <w:b/>
          <w:bCs/>
          <w:i/>
          <w:iCs/>
        </w:rPr>
        <w:t xml:space="preserve">Согласно законодательству Российской Федерации (Федеральный закон «Об экспорте газа» от 18 июля 2006 г. № 117-ФЗ с учетом изменений, внесенных Федеральными законами 30 ноября 2013 г. № 318-ФЗ, от 24 апреля 2020 г. № 137-ФЗ, от 2 ноября 2023 г. № 514-ФЗ и № 515-ФЗ), помимо ПАО «Газпром», как собственника ЕСГ, и его дочерних обществ правом экспорта из Российской Федерации природного газа в сжиженном состоянии (далее также – СПГ) также обладают подконтрольные государству компании-держатели лицензий на определенный тип участков недр федерального значения или в рамках реализации соглашений о разделе продукции, а также ряд независимых недропользователей. </w:t>
      </w:r>
    </w:p>
    <w:p w:rsidR="00A02ECF" w:rsidRDefault="006104A2">
      <w:pPr>
        <w:tabs>
          <w:tab w:val="left" w:pos="2506"/>
        </w:tabs>
        <w:spacing w:before="120"/>
        <w:jc w:val="both"/>
        <w:rPr>
          <w:b/>
          <w:bCs/>
          <w:i/>
          <w:iCs/>
        </w:rPr>
      </w:pPr>
      <w:r>
        <w:rPr>
          <w:b/>
          <w:bCs/>
          <w:i/>
          <w:iCs/>
        </w:rPr>
        <w:t xml:space="preserve">Важной задачей по совершенствованию государственного управления в области обеспечения энергетической безопасности является исключение не отвечающей экономическим интересам Российской Федерации конкуренции между различными видами российских энергоресурсов на мировых энергетических рынках (Доктрина энергетической безопасности Российской Федерации, утверждена Указом Президента Российской Федерации от 13 мая 2019 г. № 216). В развитие данной задачи в Энергетической стратегии Российской Федерации на период до 2050 года (утверждена распоряжением Правительства Российской Федерации от 12 апреля 2025 г. № 908-р) закреплен принцип недопущения конкуренции между различными видами российской энергетической продукции на мировых энергетических рынках, если это не соответствует экономическим интересам </w:t>
      </w:r>
      <w:r>
        <w:rPr>
          <w:b/>
          <w:bCs/>
          <w:i/>
          <w:iCs/>
        </w:rPr>
        <w:lastRenderedPageBreak/>
        <w:t>Российской Федерации.</w:t>
      </w:r>
    </w:p>
    <w:p w:rsidR="00A02ECF" w:rsidRDefault="006104A2">
      <w:pPr>
        <w:tabs>
          <w:tab w:val="left" w:pos="2506"/>
        </w:tabs>
        <w:spacing w:before="120"/>
        <w:jc w:val="both"/>
        <w:rPr>
          <w:b/>
          <w:bCs/>
          <w:i/>
          <w:iCs/>
        </w:rPr>
      </w:pPr>
      <w:r>
        <w:rPr>
          <w:b/>
          <w:bCs/>
          <w:i/>
          <w:iCs/>
        </w:rPr>
        <w:t>Мероприятия по управлению рисками, связанными с ростом экспорта российского СПГ на рынки сбыта трубопроводного газа ПАО «Газпром», учитываются при долгосрочном планировании деятельности компании.</w:t>
      </w:r>
    </w:p>
    <w:p w:rsidR="00A02ECF" w:rsidRDefault="00A02ECF">
      <w:pPr>
        <w:tabs>
          <w:tab w:val="left" w:pos="2506"/>
        </w:tabs>
        <w:spacing w:before="120"/>
        <w:jc w:val="both"/>
        <w:rPr>
          <w:b/>
          <w:bCs/>
          <w:i/>
          <w:iCs/>
          <w:u w:val="single"/>
        </w:rPr>
      </w:pPr>
    </w:p>
    <w:p w:rsidR="00A02ECF" w:rsidRDefault="006104A2">
      <w:pPr>
        <w:tabs>
          <w:tab w:val="left" w:pos="2506"/>
        </w:tabs>
        <w:spacing w:before="120"/>
        <w:jc w:val="both"/>
        <w:rPr>
          <w:b/>
          <w:bCs/>
          <w:i/>
          <w:iCs/>
          <w:u w:val="single"/>
        </w:rPr>
      </w:pPr>
      <w:r>
        <w:rPr>
          <w:b/>
          <w:bCs/>
          <w:i/>
          <w:iCs/>
          <w:u w:val="single"/>
        </w:rPr>
        <w:t>Риски, связанные с возможным изменением цен на газ, нефть и нефтепродукты на европейском рынке</w:t>
      </w:r>
    </w:p>
    <w:p w:rsidR="00A02ECF" w:rsidRDefault="006104A2">
      <w:pPr>
        <w:pStyle w:val="aff4"/>
        <w:widowControl w:val="0"/>
        <w:spacing w:after="0"/>
        <w:ind w:left="0"/>
        <w:rPr>
          <w:b/>
          <w:i/>
          <w:szCs w:val="20"/>
          <w:lang w:val="ru-RU"/>
        </w:rPr>
      </w:pPr>
      <w:r>
        <w:rPr>
          <w:b/>
          <w:i/>
          <w:szCs w:val="20"/>
          <w:lang w:val="ru-RU"/>
        </w:rPr>
        <w:t xml:space="preserve">Группа Газпром реализует часть добываемого природного газа в рамках долгосрочных контрактов по ценам, зависящим как от котировок газа на европейских торговых площадках, так и от мировых цен на нефть и нефтепродукты. </w:t>
      </w:r>
    </w:p>
    <w:p w:rsidR="00A02ECF" w:rsidRDefault="006104A2">
      <w:pPr>
        <w:pStyle w:val="aff4"/>
        <w:spacing w:after="0"/>
        <w:ind w:left="0"/>
        <w:rPr>
          <w:b/>
          <w:i/>
          <w:szCs w:val="20"/>
          <w:lang w:val="ru-RU"/>
        </w:rPr>
      </w:pPr>
      <w:r>
        <w:rPr>
          <w:b/>
          <w:i/>
          <w:szCs w:val="20"/>
          <w:lang w:val="ru-RU"/>
        </w:rPr>
        <w:t>Цены, как и объемы реализации, претерпевали и могут претерпевать значительные изменения под воздействием целого ряда факторов, находящихся вне контроля Группы Газпром, включая эпидемии (пандемии), экономическую и политическую ситуацию в европейском регионе и в мире в целом, текущее и прогнозное соотношение спроса и предложения нефти и газа, тенденции в развитии электрогенерирующей отрасли, использовании возобновляемых источников энергии, развитие новых технологий и другие факторы.</w:t>
      </w:r>
    </w:p>
    <w:p w:rsidR="00A02ECF" w:rsidRDefault="006104A2">
      <w:pPr>
        <w:pStyle w:val="aff4"/>
        <w:spacing w:after="0"/>
        <w:ind w:left="0"/>
        <w:rPr>
          <w:b/>
          <w:bCs/>
          <w:i/>
          <w:szCs w:val="20"/>
          <w:lang w:val="ru-RU"/>
        </w:rPr>
      </w:pPr>
      <w:r>
        <w:rPr>
          <w:b/>
          <w:i/>
          <w:szCs w:val="20"/>
          <w:lang w:val="ru-RU"/>
        </w:rPr>
        <w:t>В ПАО «Газпром» реализована система идентификации, оценки и мониторинга рисков продаж газа на экспорт. В отчетном периоде регулярно осуществлялись оценка рыночных и кредитных рисков продажи газа на внешние рынки, реализация мероприятий по управлению рисками, включая оптимизацию контрактных условий.</w:t>
      </w:r>
    </w:p>
    <w:p w:rsidR="00A02ECF" w:rsidRDefault="006104A2">
      <w:pPr>
        <w:pStyle w:val="aff4"/>
        <w:spacing w:after="0"/>
        <w:ind w:left="0"/>
        <w:rPr>
          <w:b/>
          <w:i/>
          <w:color w:val="000000"/>
          <w:szCs w:val="20"/>
          <w:lang w:val="ru-RU"/>
        </w:rPr>
      </w:pPr>
      <w:r>
        <w:rPr>
          <w:b/>
          <w:i/>
          <w:color w:val="000000"/>
          <w:szCs w:val="20"/>
          <w:lang w:val="ru-RU"/>
        </w:rPr>
        <w:t>Снижение цен на нефть и нефтепродукты влияет на объемы их добычи и/или экономическую эффективность запланированных или осуществляемых проектов в нефтедобыче или переработке. В ПАО «Газпром нефть» - дочернем обществе ПАО «Газпром» - выполняются бизнес-процессы стратегического, среднесрочного и скользящего операционного планирования, которые основаны на сценарном подходе и оценивают ключевые показатели деятельности в широком диапазоне внешних условий, включая цены на нефть и нефтепродукты. Данный подход позволил реагировать на изменение рыночной конъюнктуры, в том числе оптимизировать периоды проведения ремонтных работ, эффективно управлять распределением нефтяного сырья, перераспределением по каналам реализации нефтепродуктов конечным покупателям в операционном периоде.</w:t>
      </w:r>
    </w:p>
    <w:p w:rsidR="00A02ECF" w:rsidRDefault="00A02ECF">
      <w:pPr>
        <w:pStyle w:val="aff4"/>
        <w:spacing w:after="0"/>
        <w:ind w:left="0"/>
        <w:rPr>
          <w:b/>
          <w:bCs/>
          <w:i/>
          <w:iCs/>
          <w:szCs w:val="20"/>
          <w:lang w:val="ru-RU" w:eastAsia="en-US"/>
        </w:rPr>
      </w:pPr>
    </w:p>
    <w:p w:rsidR="00A02ECF" w:rsidRDefault="006104A2">
      <w:pPr>
        <w:pStyle w:val="aff4"/>
        <w:widowControl w:val="0"/>
        <w:spacing w:after="0"/>
        <w:ind w:left="0"/>
        <w:rPr>
          <w:b/>
          <w:i/>
          <w:szCs w:val="20"/>
          <w:lang w:val="ru-RU"/>
        </w:rPr>
      </w:pPr>
      <w:r>
        <w:rPr>
          <w:b/>
          <w:i/>
          <w:szCs w:val="20"/>
          <w:u w:val="single"/>
          <w:lang w:val="ru-RU"/>
        </w:rPr>
        <w:t>Риски, связанные с государственным регулированием тарифов, и с изменением оптовых цен на</w:t>
      </w:r>
      <w:r>
        <w:rPr>
          <w:b/>
          <w:i/>
          <w:szCs w:val="20"/>
          <w:u w:val="single"/>
          <w:lang w:val="en-US"/>
        </w:rPr>
        <w:t> </w:t>
      </w:r>
      <w:bookmarkStart w:id="140" w:name="_Hlk134788093"/>
      <w:r>
        <w:rPr>
          <w:b/>
          <w:i/>
          <w:szCs w:val="20"/>
          <w:u w:val="single"/>
          <w:lang w:val="ru-RU"/>
        </w:rPr>
        <w:t>тепло- и электроэнергию</w:t>
      </w:r>
      <w:bookmarkEnd w:id="135"/>
    </w:p>
    <w:p w:rsidR="00A02ECF" w:rsidRDefault="006104A2">
      <w:pPr>
        <w:pStyle w:val="aff4"/>
        <w:spacing w:line="230" w:lineRule="auto"/>
        <w:ind w:left="0"/>
        <w:rPr>
          <w:b/>
          <w:i/>
          <w:szCs w:val="20"/>
          <w:highlight w:val="white"/>
          <w:lang w:val="ru-RU"/>
        </w:rPr>
      </w:pPr>
      <w:bookmarkStart w:id="141" w:name="_Hlk135820952"/>
      <w:bookmarkStart w:id="142" w:name="_Hlk195779930"/>
      <w:r>
        <w:rPr>
          <w:b/>
          <w:i/>
          <w:szCs w:val="20"/>
          <w:highlight w:val="white"/>
          <w:lang w:val="ru-RU"/>
        </w:rPr>
        <w:t xml:space="preserve">Дочерние общества ООО «Газпром энергохолдинг» - дочернего общества ПАО «Газпром» поставляют электроэнергию и мощность на оптовый рынок электрической энергии и мощности (ОРЭМ), созданный и функционирующий в соответствии с постановлением Правительства Российской Федерации от 27 декабря 2010 г. № 1172, которое устанавливает правила регулирования ОРЭМ. ОРЭМ включает сегмент регулируемых договоров, в котором тарифы на электроэнергию и мощность регулируются государством, а также другие сегменты, в которых электроэнергия и мощность реализуются по рыночным ценам, определяемым путем конкурентного отбора ценовых заявок покупателей и поставщиков, осуществляемого за сутки до начала поставки/не позднее, чем за час до поставки электрической энергии, в целях формирования сбалансированного режима производства и потребления электрической энергии. </w:t>
      </w:r>
      <w:r>
        <w:rPr>
          <w:b/>
          <w:bCs/>
          <w:i/>
          <w:iCs/>
          <w:szCs w:val="20"/>
          <w:highlight w:val="white"/>
          <w:lang w:val="ru-RU"/>
        </w:rPr>
        <w:t>В целях управления данным риском Группа Газпром участвует в обсуждении проектов нормативно-правовых актов, проводимых федеральными органами исполнительной власти, региональными органами исполнительной власти, Государственной Думой, отраслевыми сообществами.</w:t>
      </w:r>
    </w:p>
    <w:p w:rsidR="00A02ECF" w:rsidRDefault="006104A2">
      <w:pPr>
        <w:pStyle w:val="aff4"/>
        <w:spacing w:line="230" w:lineRule="auto"/>
        <w:ind w:left="0"/>
        <w:rPr>
          <w:b/>
          <w:i/>
          <w:szCs w:val="20"/>
          <w:highlight w:val="white"/>
          <w:lang w:val="ru-RU"/>
        </w:rPr>
      </w:pPr>
      <w:r>
        <w:rPr>
          <w:b/>
          <w:i/>
          <w:szCs w:val="20"/>
          <w:highlight w:val="white"/>
          <w:lang w:val="ru-RU"/>
        </w:rPr>
        <w:t>Цены по регулируемым контрактам на поставку электрической энергии на ОРЭМ устанавливаются Федеральной антимонопольной службой (ФАС России). Дочерние общества ООО «Газпром энергохолдинг» предоставляют ФАС России данные по издержкам, которые несут для выработки электрической энергии, на основании которых ФАС России устанавливает регулируемые тарифы на соответствующий период регулирования. Однако если цены на товары и услуги, которые используются для производства электроэнергии и мощности, будут расти быстрее, чем утвержденные тарифы, то прибыль от реализации электроэнергии и мощности может снизиться. Это может негативно повлиять на финансовые результаты.</w:t>
      </w:r>
    </w:p>
    <w:p w:rsidR="00A02ECF" w:rsidRDefault="006104A2">
      <w:pPr>
        <w:pStyle w:val="aff4"/>
        <w:spacing w:line="230" w:lineRule="auto"/>
        <w:ind w:left="0"/>
        <w:rPr>
          <w:b/>
          <w:i/>
          <w:szCs w:val="20"/>
          <w:highlight w:val="white"/>
          <w:lang w:val="ru-RU"/>
        </w:rPr>
      </w:pPr>
      <w:r>
        <w:rPr>
          <w:b/>
          <w:i/>
          <w:szCs w:val="20"/>
          <w:highlight w:val="white"/>
          <w:lang w:val="ru-RU"/>
        </w:rPr>
        <w:t>Дочерние общества ООО «Газпром энергохолдинг» реализуют тепловую энергию по тарифам, устанавливаемым органами исполнительной власти субъекта РФ, осуществляющими функции государственного регулирования тарифов. При этом размер предельного индекса изменения платы граждан, установленного по субъекту РФ, может явиться ограничительным фактором при принятии тарифно-балансовых решений в части тепловой энергии.</w:t>
      </w:r>
    </w:p>
    <w:p w:rsidR="00A02ECF" w:rsidRDefault="006104A2">
      <w:pPr>
        <w:pStyle w:val="aff4"/>
        <w:spacing w:line="230" w:lineRule="auto"/>
        <w:ind w:left="0"/>
        <w:rPr>
          <w:b/>
          <w:i/>
          <w:szCs w:val="20"/>
          <w:highlight w:val="white"/>
          <w:lang w:val="ru-RU"/>
        </w:rPr>
      </w:pPr>
      <w:r>
        <w:rPr>
          <w:b/>
          <w:i/>
          <w:szCs w:val="20"/>
          <w:highlight w:val="white"/>
          <w:lang w:val="ru-RU"/>
        </w:rPr>
        <w:lastRenderedPageBreak/>
        <w:t>Дочерние общества ООО «Газпром энергохолдинг» проводят постоянную работу с ФАС России, органами исполнительной власти субъекта РФ, осуществляющими функции государственного регулирования тарифов с целью предоставления обоснования для утверждения тарифов на экономически обоснованном уровне.</w:t>
      </w:r>
    </w:p>
    <w:p w:rsidR="00A02ECF" w:rsidRDefault="006104A2">
      <w:pPr>
        <w:pStyle w:val="aff4"/>
        <w:spacing w:before="0" w:after="0" w:line="230" w:lineRule="auto"/>
        <w:ind w:left="0"/>
        <w:rPr>
          <w:b/>
          <w:i/>
          <w:szCs w:val="20"/>
          <w:highlight w:val="white"/>
          <w:lang w:val="ru-RU"/>
        </w:rPr>
      </w:pPr>
      <w:bookmarkStart w:id="143" w:name="_Hlk206758122"/>
      <w:r>
        <w:rPr>
          <w:b/>
          <w:i/>
          <w:szCs w:val="20"/>
          <w:highlight w:val="white"/>
          <w:lang w:val="ru-RU"/>
        </w:rPr>
        <w:t>Цены на электроэнергию в сегментах рынка со свободным рыночным ценообразованием в значительной степени зависят от внутреннего спроса, который меняется вместе с другими макроэкономическими индикаторами, такими как темпы роста ВВП и промышленного производства в России. В этой связи, в случае неблагоприятных экономических условий в России, цены на электроэнергию в нерегулируемом сегменте могут существенно снизиться, что способно оказать негативное влияние на финансовый результат от реализации этих товаров. С другой стороны, Группа Газпром не может гарантировать, что в случае резкого роста цен для конечных потребителей не будет введен особый порядок определения цен, включая возможное применение государственного регулирования, что может привести к значительному снижению выручки и финансового результата от реализации электроэнергии.</w:t>
      </w:r>
      <w:bookmarkEnd w:id="139"/>
      <w:bookmarkEnd w:id="143"/>
    </w:p>
    <w:p w:rsidR="00A02ECF" w:rsidRDefault="00A02ECF">
      <w:pPr>
        <w:tabs>
          <w:tab w:val="left" w:pos="2506"/>
        </w:tabs>
        <w:spacing w:before="120"/>
        <w:jc w:val="both"/>
        <w:rPr>
          <w:b/>
          <w:bCs/>
          <w:i/>
          <w:iCs/>
          <w:u w:val="single"/>
        </w:rPr>
      </w:pPr>
    </w:p>
    <w:p w:rsidR="00A02ECF" w:rsidRDefault="006104A2">
      <w:pPr>
        <w:tabs>
          <w:tab w:val="left" w:pos="2506"/>
        </w:tabs>
        <w:spacing w:before="120"/>
        <w:jc w:val="both"/>
        <w:rPr>
          <w:b/>
          <w:bCs/>
          <w:i/>
          <w:iCs/>
          <w:u w:val="single"/>
        </w:rPr>
      </w:pPr>
      <w:r>
        <w:rPr>
          <w:b/>
          <w:bCs/>
          <w:i/>
          <w:iCs/>
          <w:u w:val="single"/>
        </w:rPr>
        <w:t>Риски, связанные с развитием производства газа из нетрадиционных источников</w:t>
      </w:r>
    </w:p>
    <w:p w:rsidR="00A02ECF" w:rsidRDefault="006104A2">
      <w:pPr>
        <w:tabs>
          <w:tab w:val="left" w:pos="2506"/>
        </w:tabs>
        <w:spacing w:before="120"/>
        <w:jc w:val="both"/>
        <w:rPr>
          <w:b/>
          <w:bCs/>
          <w:i/>
          <w:iCs/>
        </w:rPr>
      </w:pPr>
      <w:r>
        <w:rPr>
          <w:b/>
          <w:bCs/>
          <w:i/>
          <w:iCs/>
        </w:rPr>
        <w:t>Порядка 95 % мировой добычи сланцевого газа в мире в настоящее время осуществляется в США.</w:t>
      </w:r>
    </w:p>
    <w:p w:rsidR="00A02ECF" w:rsidRDefault="006104A2">
      <w:pPr>
        <w:tabs>
          <w:tab w:val="left" w:pos="2506"/>
        </w:tabs>
        <w:spacing w:before="120"/>
        <w:jc w:val="both"/>
        <w:rPr>
          <w:b/>
          <w:bCs/>
          <w:i/>
          <w:iCs/>
        </w:rPr>
      </w:pPr>
      <w:r>
        <w:rPr>
          <w:b/>
          <w:bCs/>
          <w:i/>
          <w:iCs/>
        </w:rPr>
        <w:t>С учетом текущей динамики и актуальных прогнозов следует ожидать, что развитие сланцевой отрасли в</w:t>
      </w:r>
      <w:r>
        <w:rPr>
          <w:b/>
          <w:bCs/>
          <w:i/>
          <w:iCs/>
          <w:lang w:val="en-US"/>
        </w:rPr>
        <w:t> </w:t>
      </w:r>
      <w:r>
        <w:rPr>
          <w:b/>
          <w:bCs/>
          <w:i/>
          <w:iCs/>
        </w:rPr>
        <w:t xml:space="preserve">других странах мира не достигнет масштабов, характерных для США. </w:t>
      </w:r>
    </w:p>
    <w:p w:rsidR="00A02ECF" w:rsidRDefault="006104A2">
      <w:pPr>
        <w:tabs>
          <w:tab w:val="left" w:pos="2506"/>
        </w:tabs>
        <w:spacing w:before="120"/>
        <w:jc w:val="both"/>
        <w:rPr>
          <w:b/>
          <w:bCs/>
          <w:i/>
          <w:iCs/>
        </w:rPr>
      </w:pPr>
      <w:r>
        <w:rPr>
          <w:b/>
          <w:bCs/>
          <w:i/>
          <w:iCs/>
        </w:rPr>
        <w:t>По итогам 2025 года второе-третье места среди стран мира по объему сланцевой газодобычи разделили между собой Аргентина и Китай (с сопоставимыми показателями добычи).</w:t>
      </w:r>
    </w:p>
    <w:p w:rsidR="00A02ECF" w:rsidRDefault="006104A2">
      <w:pPr>
        <w:tabs>
          <w:tab w:val="left" w:pos="2506"/>
        </w:tabs>
        <w:spacing w:before="120"/>
        <w:jc w:val="both"/>
        <w:rPr>
          <w:iCs/>
        </w:rPr>
      </w:pPr>
      <w:r>
        <w:rPr>
          <w:b/>
          <w:bCs/>
          <w:i/>
          <w:iCs/>
        </w:rPr>
        <w:t>Ожидается, что развитие производства газа из сланцев в Аргентине не повлияет существенно на развитие экспортной деятельности Общества в связи с невысокой долей стран Латинской Америки в мировом спросе на СПГ.</w:t>
      </w:r>
    </w:p>
    <w:p w:rsidR="00A02ECF" w:rsidRDefault="006104A2">
      <w:pPr>
        <w:tabs>
          <w:tab w:val="left" w:pos="2506"/>
        </w:tabs>
        <w:spacing w:before="120"/>
        <w:jc w:val="both"/>
        <w:rPr>
          <w:b/>
          <w:bCs/>
          <w:i/>
          <w:iCs/>
        </w:rPr>
      </w:pPr>
      <w:r>
        <w:rPr>
          <w:b/>
          <w:bCs/>
          <w:i/>
          <w:iCs/>
        </w:rPr>
        <w:t>В Китае регионы добычи и реализации сланцевого газа в незначительной степени пересекаются с целевыми рынками поставок российского трубопроводного газа. В этой связи можно ожидать, что производство газа из</w:t>
      </w:r>
      <w:r>
        <w:rPr>
          <w:b/>
          <w:bCs/>
          <w:i/>
          <w:iCs/>
          <w:lang w:val="en-US"/>
        </w:rPr>
        <w:t> </w:t>
      </w:r>
      <w:r>
        <w:rPr>
          <w:b/>
          <w:bCs/>
          <w:i/>
          <w:iCs/>
        </w:rPr>
        <w:t>нетрадиционных источников в КНР в обозримой перспективе не окажет существенного влияния на</w:t>
      </w:r>
      <w:r>
        <w:rPr>
          <w:b/>
          <w:bCs/>
          <w:i/>
          <w:iCs/>
          <w:lang w:val="en-US"/>
        </w:rPr>
        <w:t> </w:t>
      </w:r>
      <w:r>
        <w:rPr>
          <w:b/>
          <w:bCs/>
          <w:i/>
          <w:iCs/>
        </w:rPr>
        <w:t>развитие деятельности Группы Газпром.</w:t>
      </w:r>
    </w:p>
    <w:p w:rsidR="00A02ECF" w:rsidRDefault="006104A2">
      <w:pPr>
        <w:tabs>
          <w:tab w:val="left" w:pos="2506"/>
        </w:tabs>
        <w:spacing w:before="120"/>
        <w:jc w:val="both"/>
        <w:rPr>
          <w:b/>
          <w:bCs/>
          <w:i/>
          <w:iCs/>
        </w:rPr>
      </w:pPr>
      <w:r>
        <w:rPr>
          <w:b/>
          <w:bCs/>
          <w:i/>
          <w:iCs/>
        </w:rPr>
        <w:t>Риски и возможности, связанные с развитием производства газа из нетрадиционных источников, учитываются при планировании деятельности Группы Газпром.</w:t>
      </w:r>
    </w:p>
    <w:p w:rsidR="00A02ECF" w:rsidRDefault="00A02ECF">
      <w:pPr>
        <w:tabs>
          <w:tab w:val="left" w:pos="2506"/>
        </w:tabs>
        <w:spacing w:before="120" w:after="0"/>
        <w:jc w:val="both"/>
        <w:rPr>
          <w:b/>
          <w:bCs/>
          <w:i/>
          <w:iCs/>
          <w:u w:val="single"/>
        </w:rPr>
      </w:pPr>
    </w:p>
    <w:p w:rsidR="00A02ECF" w:rsidRDefault="006104A2">
      <w:pPr>
        <w:tabs>
          <w:tab w:val="left" w:pos="2506"/>
        </w:tabs>
        <w:spacing w:before="120"/>
        <w:jc w:val="both"/>
        <w:rPr>
          <w:b/>
          <w:bCs/>
          <w:i/>
          <w:iCs/>
          <w:u w:val="single"/>
        </w:rPr>
      </w:pPr>
      <w:r>
        <w:rPr>
          <w:b/>
          <w:bCs/>
          <w:i/>
          <w:iCs/>
          <w:u w:val="single"/>
        </w:rPr>
        <w:t>Риски, связанные с развитием возобновляемых источников энергии (ВИЭ)</w:t>
      </w:r>
    </w:p>
    <w:p w:rsidR="00A02ECF" w:rsidRDefault="006104A2">
      <w:pPr>
        <w:spacing w:before="120"/>
        <w:jc w:val="both"/>
        <w:rPr>
          <w:b/>
          <w:bCs/>
          <w:i/>
          <w:iCs/>
        </w:rPr>
      </w:pPr>
      <w:r>
        <w:rPr>
          <w:b/>
          <w:bCs/>
          <w:i/>
          <w:iCs/>
        </w:rPr>
        <w:t xml:space="preserve">В 2025 году наблюдалось снижение поддержки ВИЭ в энергетической политике ряда стран. Это проявилось в принятии документов, снижающих роль ВИЭ в энергообеспечении, сокращении субсидий и инвестиций в проекты возобновляемой энергетики, принятии законопроектов, стимулирующих развитие газовой отрасли и увеличении добычи углеводородов. Во многих странах традиционные энергоносители вновь становятся приоритетом энергетической политики. </w:t>
      </w:r>
    </w:p>
    <w:p w:rsidR="00A02ECF" w:rsidRDefault="006104A2">
      <w:pPr>
        <w:pStyle w:val="aff4"/>
        <w:ind w:left="0"/>
        <w:rPr>
          <w:b/>
          <w:bCs/>
          <w:i/>
          <w:iCs/>
          <w:szCs w:val="20"/>
          <w:lang w:val="ru-RU"/>
        </w:rPr>
      </w:pPr>
      <w:r>
        <w:rPr>
          <w:b/>
          <w:bCs/>
          <w:i/>
          <w:iCs/>
          <w:szCs w:val="20"/>
          <w:lang w:val="ru-RU"/>
        </w:rPr>
        <w:t>Тенденция разворота в сторону нефти и газа также наблюдается на корпоративном уровне. В 2025 году ряд крупнейших нефтегазовых компаний обновили свои долгосрочные стратегии развития, усилив фокус на нефти и газе.</w:t>
      </w:r>
    </w:p>
    <w:p w:rsidR="00A02ECF" w:rsidRDefault="00A02ECF"/>
    <w:p w:rsidR="00A02ECF" w:rsidRDefault="006104A2">
      <w:pPr>
        <w:pStyle w:val="2"/>
        <w:spacing w:before="200"/>
        <w:rPr>
          <w:color w:val="000000"/>
        </w:rPr>
      </w:pPr>
      <w:bookmarkStart w:id="144" w:name="_Toc230104309"/>
      <w:r>
        <w:rPr>
          <w:color w:val="000000"/>
        </w:rPr>
        <w:t>1.9.2. Страновые и региональные риски</w:t>
      </w:r>
      <w:bookmarkEnd w:id="140"/>
      <w:bookmarkEnd w:id="144"/>
    </w:p>
    <w:p w:rsidR="00A02ECF" w:rsidRDefault="006104A2">
      <w:pPr>
        <w:tabs>
          <w:tab w:val="left" w:pos="2506"/>
        </w:tabs>
        <w:spacing w:before="120"/>
        <w:jc w:val="both"/>
        <w:rPr>
          <w:b/>
          <w:bCs/>
          <w:i/>
          <w:iCs/>
          <w:u w:val="single"/>
        </w:rPr>
      </w:pPr>
      <w:bookmarkStart w:id="145" w:name="_Hlk135993731"/>
      <w:bookmarkStart w:id="146" w:name="_Hlk134885754"/>
      <w:bookmarkStart w:id="147" w:name="_Hlk103508844"/>
      <w:bookmarkEnd w:id="141"/>
      <w:bookmarkEnd w:id="142"/>
      <w:r>
        <w:rPr>
          <w:b/>
          <w:bCs/>
          <w:i/>
          <w:iCs/>
          <w:u w:val="single"/>
        </w:rPr>
        <w:t>Политические риски</w:t>
      </w:r>
    </w:p>
    <w:p w:rsidR="00A02ECF" w:rsidRDefault="006104A2">
      <w:pPr>
        <w:spacing w:before="120"/>
        <w:jc w:val="both"/>
        <w:rPr>
          <w:rFonts w:eastAsia="Calibri"/>
          <w:b/>
          <w:i/>
        </w:rPr>
      </w:pPr>
      <w:r>
        <w:rPr>
          <w:rFonts w:eastAsia="Calibri"/>
          <w:b/>
          <w:i/>
        </w:rPr>
        <w:t>Политические системы разных стран, в том числе в регионах деятельности Группы Газпром, время от времени претерпевают изменения, которые сложно предсказуемы и могут иметь неблагоприятные последствия для бизнеса, приводить к приостановке производственных процессов, перебоям в поставках, задержке взаимных расчетов, повышенной волатильности финансовых рынков, снижению стоимости активов, кризисным явлениям в банковском секторе и другим неблагоприятным экономическим последствиям.</w:t>
      </w:r>
    </w:p>
    <w:p w:rsidR="00A02ECF" w:rsidRDefault="006104A2">
      <w:pPr>
        <w:spacing w:before="120"/>
        <w:jc w:val="both"/>
        <w:rPr>
          <w:rFonts w:eastAsia="Calibri"/>
          <w:b/>
          <w:i/>
        </w:rPr>
      </w:pPr>
      <w:bookmarkStart w:id="148" w:name="_Hlk200028508"/>
      <w:r>
        <w:rPr>
          <w:rFonts w:eastAsia="Calibri"/>
          <w:b/>
          <w:i/>
        </w:rPr>
        <w:t>Политические риски учитываются при планировании деятельности Группы Газпром.</w:t>
      </w:r>
      <w:bookmarkEnd w:id="148"/>
    </w:p>
    <w:p w:rsidR="00A02ECF" w:rsidRDefault="00A02ECF">
      <w:pPr>
        <w:spacing w:before="0" w:after="0"/>
        <w:jc w:val="both"/>
        <w:rPr>
          <w:b/>
          <w:bCs/>
          <w:i/>
          <w:iCs/>
          <w:u w:val="single"/>
        </w:rPr>
      </w:pPr>
    </w:p>
    <w:p w:rsidR="00A02ECF" w:rsidRDefault="006104A2">
      <w:pPr>
        <w:spacing w:before="120"/>
        <w:jc w:val="both"/>
        <w:rPr>
          <w:b/>
          <w:bCs/>
          <w:i/>
          <w:iCs/>
          <w:u w:val="single"/>
        </w:rPr>
      </w:pPr>
      <w:r>
        <w:rPr>
          <w:b/>
          <w:bCs/>
          <w:i/>
          <w:iCs/>
          <w:u w:val="single"/>
        </w:rPr>
        <w:t>Макроэкономические риски</w:t>
      </w:r>
    </w:p>
    <w:p w:rsidR="00A02ECF" w:rsidRDefault="006104A2">
      <w:pPr>
        <w:spacing w:before="120" w:line="259" w:lineRule="auto"/>
        <w:jc w:val="both"/>
        <w:rPr>
          <w:rFonts w:eastAsia="Calibri"/>
          <w:b/>
          <w:i/>
        </w:rPr>
      </w:pPr>
      <w:r>
        <w:rPr>
          <w:rFonts w:eastAsia="Calibri"/>
          <w:b/>
          <w:i/>
        </w:rPr>
        <w:lastRenderedPageBreak/>
        <w:t xml:space="preserve">Нестабильность глобальной финансовой системы, торговые и тарифные ограничения, геополитическая напряженность в отдельных регионах мира, низкие темпы роста экономик ряда стран, а также эпидемии (пандемии) приводят к сохранению высокой степени неопределенности в мировой экономике и рискам роста волатильности на финансовых и сырьевых рынках. </w:t>
      </w:r>
    </w:p>
    <w:p w:rsidR="00A02ECF" w:rsidRDefault="006104A2">
      <w:pPr>
        <w:spacing w:before="120" w:line="259" w:lineRule="auto"/>
        <w:jc w:val="both"/>
        <w:rPr>
          <w:rFonts w:eastAsia="Calibri"/>
          <w:b/>
          <w:i/>
        </w:rPr>
      </w:pPr>
      <w:bookmarkStart w:id="149" w:name="_Hlk200028532"/>
      <w:r>
        <w:rPr>
          <w:rFonts w:eastAsia="Calibri"/>
          <w:b/>
          <w:i/>
        </w:rPr>
        <w:t>Группа Газпром проводит консервативную финансовую политику, которая обеспечивает устойчивость финансового положения и оптимизацию долгового портфеля, что позволит реагировать на возможное ухудшение ситуации, вызванное как встречными процессами глобализации-регионализации в целом, так и различными кризисными явлениями, возникающими в мировой экономике.</w:t>
      </w:r>
      <w:bookmarkEnd w:id="149"/>
    </w:p>
    <w:p w:rsidR="00A02ECF" w:rsidRDefault="00A02ECF">
      <w:pPr>
        <w:spacing w:before="120"/>
        <w:jc w:val="both"/>
        <w:rPr>
          <w:b/>
          <w:i/>
          <w:iCs/>
          <w:u w:val="single"/>
        </w:rPr>
      </w:pPr>
    </w:p>
    <w:p w:rsidR="00A02ECF" w:rsidRDefault="00A02ECF">
      <w:pPr>
        <w:spacing w:before="120"/>
        <w:jc w:val="both"/>
        <w:rPr>
          <w:b/>
          <w:i/>
          <w:iCs/>
          <w:u w:val="single"/>
        </w:rPr>
      </w:pPr>
    </w:p>
    <w:p w:rsidR="00A02ECF" w:rsidRDefault="006104A2">
      <w:pPr>
        <w:spacing w:before="120"/>
        <w:jc w:val="both"/>
        <w:rPr>
          <w:b/>
          <w:i/>
          <w:iCs/>
          <w:u w:val="single"/>
        </w:rPr>
      </w:pPr>
      <w:r>
        <w:rPr>
          <w:b/>
          <w:i/>
          <w:iCs/>
          <w:u w:val="single"/>
        </w:rPr>
        <w:t>Риски, связанные с выходом в новые регионы и на новые рынки</w:t>
      </w:r>
    </w:p>
    <w:p w:rsidR="00A02ECF" w:rsidRDefault="006104A2">
      <w:pPr>
        <w:spacing w:before="120"/>
        <w:jc w:val="both"/>
        <w:rPr>
          <w:b/>
          <w:bCs/>
          <w:i/>
          <w:iCs/>
        </w:rPr>
      </w:pPr>
      <w:r>
        <w:rPr>
          <w:b/>
          <w:bCs/>
          <w:i/>
          <w:iCs/>
        </w:rPr>
        <w:t>Одними из основных принципов построения стратегии Группы Газпром являются диверсификация и расширение деятельности - новые рынки, новые транспортные маршруты, новые продукты. В частности, Общество увеличивает поставки природного газа и продуктов газопереработки в страны Азиатско-Тихоокеанского региона.</w:t>
      </w:r>
    </w:p>
    <w:p w:rsidR="00A02ECF" w:rsidRDefault="006104A2">
      <w:pPr>
        <w:spacing w:before="120"/>
        <w:jc w:val="both"/>
        <w:rPr>
          <w:b/>
          <w:bCs/>
          <w:i/>
          <w:iCs/>
        </w:rPr>
      </w:pPr>
      <w:bookmarkStart w:id="150" w:name="_Hlk200028576"/>
      <w:r>
        <w:rPr>
          <w:b/>
          <w:bCs/>
          <w:i/>
          <w:iCs/>
        </w:rPr>
        <w:t>Возможности получения дополнительных преимуществ, а также риски и неопределенности в оценках экономической и политической ситуации, связанные с выходом в новые регионы и на новые рынки, учитываются при долгосрочном планировании деятельности Группы Газпром.</w:t>
      </w:r>
      <w:bookmarkEnd w:id="150"/>
    </w:p>
    <w:p w:rsidR="00A02ECF" w:rsidRDefault="00A02ECF">
      <w:pPr>
        <w:tabs>
          <w:tab w:val="left" w:pos="2506"/>
        </w:tabs>
        <w:spacing w:before="0" w:after="0"/>
        <w:jc w:val="both"/>
        <w:rPr>
          <w:b/>
          <w:bCs/>
          <w:i/>
          <w:iCs/>
          <w:u w:val="single"/>
        </w:rPr>
      </w:pPr>
    </w:p>
    <w:p w:rsidR="00A02ECF" w:rsidRDefault="006104A2">
      <w:pPr>
        <w:tabs>
          <w:tab w:val="left" w:pos="2506"/>
        </w:tabs>
        <w:spacing w:before="120"/>
        <w:jc w:val="both"/>
        <w:rPr>
          <w:b/>
          <w:bCs/>
          <w:i/>
          <w:iCs/>
          <w:u w:val="single"/>
        </w:rPr>
      </w:pPr>
      <w:r>
        <w:rPr>
          <w:b/>
          <w:bCs/>
          <w:i/>
          <w:iCs/>
          <w:u w:val="single"/>
        </w:rPr>
        <w:t>Риски, связанные с транзитом природного газа</w:t>
      </w:r>
    </w:p>
    <w:p w:rsidR="00A02ECF" w:rsidRDefault="006104A2">
      <w:pPr>
        <w:tabs>
          <w:tab w:val="left" w:pos="2506"/>
        </w:tabs>
        <w:spacing w:before="120"/>
        <w:jc w:val="both"/>
        <w:rPr>
          <w:b/>
          <w:i/>
        </w:rPr>
      </w:pPr>
      <w:bookmarkStart w:id="151" w:name="_Hlk200028132"/>
      <w:r>
        <w:rPr>
          <w:b/>
          <w:i/>
        </w:rPr>
        <w:t xml:space="preserve">В 2025 году Группы Газпром сохранялись риски, связанные с транспортировкой природного газа через территорию транзитных стран. </w:t>
      </w:r>
      <w:bookmarkEnd w:id="151"/>
    </w:p>
    <w:p w:rsidR="00A02ECF" w:rsidRDefault="006104A2">
      <w:pPr>
        <w:spacing w:before="120"/>
        <w:jc w:val="both"/>
        <w:rPr>
          <w:b/>
          <w:i/>
        </w:rPr>
      </w:pPr>
      <w:r>
        <w:rPr>
          <w:b/>
          <w:i/>
        </w:rPr>
        <w:t>Транзит газа по магистральным газопроводам может быть нарушен вследствие чрезвычайных ситуаций, причинения третьими лицами вреда имуществу, введения регулятивных ограничений, нарушения контрагентами контрактных обязательств. Сбои в транзите газа могут оказать негативное влияние на бизнес, финансовое положение и результаты деятельности Группы Газпром.</w:t>
      </w:r>
    </w:p>
    <w:p w:rsidR="00A02ECF" w:rsidRDefault="006104A2">
      <w:pPr>
        <w:spacing w:before="120"/>
        <w:jc w:val="both"/>
        <w:rPr>
          <w:b/>
          <w:bCs/>
          <w:i/>
          <w:iCs/>
          <w:u w:val="single"/>
        </w:rPr>
      </w:pPr>
      <w:r>
        <w:rPr>
          <w:b/>
          <w:i/>
        </w:rPr>
        <w:t>В рамках управления данным риском реализуются мероприятия по развитию и диверсификации маршрутов транспортировки газа, а также мощностей для</w:t>
      </w:r>
      <w:r>
        <w:rPr>
          <w:b/>
          <w:i/>
          <w:lang w:val="en-US"/>
        </w:rPr>
        <w:t> </w:t>
      </w:r>
      <w:r>
        <w:rPr>
          <w:b/>
          <w:i/>
        </w:rPr>
        <w:t>производства СПГ.</w:t>
      </w:r>
    </w:p>
    <w:p w:rsidR="00A02ECF" w:rsidRDefault="00A02ECF">
      <w:pPr>
        <w:tabs>
          <w:tab w:val="left" w:pos="2506"/>
        </w:tabs>
        <w:spacing w:before="80" w:after="0"/>
        <w:jc w:val="both"/>
        <w:rPr>
          <w:b/>
          <w:bCs/>
          <w:i/>
          <w:iCs/>
          <w:u w:val="single"/>
        </w:rPr>
      </w:pPr>
    </w:p>
    <w:p w:rsidR="00A02ECF" w:rsidRDefault="006104A2">
      <w:pPr>
        <w:tabs>
          <w:tab w:val="left" w:pos="2506"/>
        </w:tabs>
        <w:spacing w:before="120"/>
        <w:jc w:val="both"/>
        <w:rPr>
          <w:b/>
          <w:bCs/>
          <w:i/>
          <w:iCs/>
          <w:u w:val="single"/>
        </w:rPr>
      </w:pPr>
      <w:bookmarkStart w:id="152" w:name="_Hlk116564124"/>
      <w:r>
        <w:rPr>
          <w:b/>
          <w:bCs/>
          <w:i/>
          <w:iCs/>
          <w:u w:val="single"/>
        </w:rPr>
        <w:t>Риски, связанные с географическими особенностями</w:t>
      </w:r>
      <w:bookmarkEnd w:id="152"/>
    </w:p>
    <w:p w:rsidR="00A02ECF" w:rsidRDefault="006104A2">
      <w:pPr>
        <w:spacing w:before="120"/>
        <w:jc w:val="both"/>
        <w:rPr>
          <w:b/>
          <w:bCs/>
          <w:i/>
          <w:iCs/>
        </w:rPr>
      </w:pPr>
      <w:r>
        <w:rPr>
          <w:b/>
          <w:i/>
        </w:rPr>
        <w:t xml:space="preserve">Группа Газпром ведет разведку и добычу углеводородов в различных географических регионах, включая Западную и Восточную Сибирь, Дальний Восток и континентальный шельф Российской Федерации, которые характеризуются удаленностью от населенных пунктов, сложными природными условиями и высокими издержками в связи с вышеперечисленными факторами. </w:t>
      </w:r>
    </w:p>
    <w:p w:rsidR="00A02ECF" w:rsidRDefault="006104A2">
      <w:pPr>
        <w:spacing w:before="120"/>
        <w:jc w:val="both"/>
        <w:rPr>
          <w:b/>
          <w:bCs/>
          <w:i/>
          <w:iCs/>
        </w:rPr>
      </w:pPr>
      <w:bookmarkStart w:id="153" w:name="_Hlk199755845"/>
      <w:r>
        <w:rPr>
          <w:b/>
          <w:bCs/>
          <w:i/>
          <w:iCs/>
        </w:rPr>
        <w:t xml:space="preserve">Группа Газпром успешно разрабатывает и внедряет эффективные технологические процессы для суровых климатических условий. Также Группой разрабатываются и реализуются программы повышения эффективности работы системы добычи, транспортировки и эксплуатации газотранспортной сети. </w:t>
      </w:r>
      <w:bookmarkEnd w:id="153"/>
    </w:p>
    <w:p w:rsidR="00A02ECF" w:rsidRDefault="00A02ECF">
      <w:pPr>
        <w:tabs>
          <w:tab w:val="left" w:pos="2506"/>
        </w:tabs>
        <w:spacing w:before="80" w:after="0"/>
        <w:jc w:val="both"/>
        <w:rPr>
          <w:b/>
          <w:bCs/>
          <w:i/>
          <w:iCs/>
          <w:u w:val="single"/>
        </w:rPr>
      </w:pPr>
    </w:p>
    <w:p w:rsidR="00A02ECF" w:rsidRDefault="006104A2">
      <w:pPr>
        <w:tabs>
          <w:tab w:val="left" w:pos="2506"/>
        </w:tabs>
        <w:spacing w:before="120"/>
        <w:jc w:val="both"/>
        <w:rPr>
          <w:b/>
          <w:bCs/>
          <w:i/>
          <w:iCs/>
          <w:u w:val="single"/>
        </w:rPr>
      </w:pPr>
      <w:bookmarkStart w:id="154" w:name="_Hlk167112933"/>
      <w:r>
        <w:rPr>
          <w:b/>
          <w:bCs/>
          <w:i/>
          <w:iCs/>
          <w:u w:val="single"/>
        </w:rPr>
        <w:t>Санкционные риски</w:t>
      </w:r>
    </w:p>
    <w:p w:rsidR="00A02ECF" w:rsidRDefault="006104A2">
      <w:pPr>
        <w:spacing w:before="120"/>
        <w:jc w:val="both"/>
        <w:rPr>
          <w:b/>
          <w:i/>
        </w:rPr>
      </w:pPr>
      <w:bookmarkStart w:id="155" w:name="_Hlk135818740"/>
      <w:bookmarkStart w:id="156" w:name="_Hlk197438523"/>
      <w:bookmarkStart w:id="157" w:name="_Hlk197510553"/>
      <w:bookmarkEnd w:id="145"/>
      <w:bookmarkEnd w:id="146"/>
      <w:r>
        <w:rPr>
          <w:b/>
          <w:bCs/>
          <w:i/>
          <w:iCs/>
        </w:rPr>
        <w:t xml:space="preserve">США, ЕС, Великобритания и ряд других стран в 2025 году продолжили вводить санкции против Российской Федерации, российских физических и юридических лиц, введение которых началось в 2014 году и существенно возросло, начиная с февраля 2022 года. </w:t>
      </w:r>
      <w:r>
        <w:rPr>
          <w:b/>
          <w:i/>
        </w:rPr>
        <w:t xml:space="preserve">Текущая геополитическая ситуация, включая недружественные действия и введение санкций со стороны ряда государств, прежде всего США, стран ЕС, Великобритании </w:t>
      </w:r>
      <w:r>
        <w:rPr>
          <w:b/>
          <w:i/>
          <w:color w:val="000000" w:themeColor="text1"/>
        </w:rPr>
        <w:t>отражаются</w:t>
      </w:r>
      <w:r>
        <w:rPr>
          <w:b/>
          <w:i/>
        </w:rPr>
        <w:t xml:space="preserve"> на объемах продаж Группой Газпром газа, нефти и нефтепродуктов на экспорт. Вместе с тем, указанные риски </w:t>
      </w:r>
      <w:r>
        <w:rPr>
          <w:b/>
          <w:bCs/>
          <w:i/>
          <w:iCs/>
        </w:rPr>
        <w:t>учитываются при долгосрочном планировании деятельности Группы Газпром.</w:t>
      </w:r>
    </w:p>
    <w:p w:rsidR="00A02ECF" w:rsidRDefault="006104A2">
      <w:pPr>
        <w:tabs>
          <w:tab w:val="left" w:pos="2506"/>
        </w:tabs>
        <w:jc w:val="both"/>
        <w:rPr>
          <w:b/>
          <w:bCs/>
          <w:i/>
          <w:highlight w:val="white"/>
        </w:rPr>
      </w:pPr>
      <w:r>
        <w:rPr>
          <w:b/>
          <w:bCs/>
          <w:i/>
          <w:highlight w:val="white"/>
        </w:rPr>
        <w:t>Информация о санкциях, введенных до 2025 года, отражена в отчетах эмитента за соответствующие годы.</w:t>
      </w:r>
    </w:p>
    <w:p w:rsidR="00A02ECF" w:rsidRDefault="00A02ECF">
      <w:pPr>
        <w:tabs>
          <w:tab w:val="left" w:pos="2506"/>
        </w:tabs>
        <w:spacing w:before="120"/>
        <w:jc w:val="both"/>
        <w:rPr>
          <w:b/>
          <w:bCs/>
          <w:u w:val="single"/>
        </w:rPr>
      </w:pPr>
    </w:p>
    <w:p w:rsidR="00A02ECF" w:rsidRDefault="006104A2">
      <w:pPr>
        <w:tabs>
          <w:tab w:val="left" w:pos="2506"/>
        </w:tabs>
        <w:spacing w:before="120"/>
        <w:jc w:val="both"/>
        <w:rPr>
          <w:b/>
          <w:i/>
          <w:iCs/>
        </w:rPr>
      </w:pPr>
      <w:r>
        <w:rPr>
          <w:b/>
          <w:bCs/>
          <w:u w:val="single"/>
        </w:rPr>
        <w:t>Санкции США</w:t>
      </w:r>
    </w:p>
    <w:p w:rsidR="00A02ECF" w:rsidRDefault="006104A2">
      <w:pPr>
        <w:spacing w:before="120"/>
        <w:jc w:val="both"/>
        <w:rPr>
          <w:b/>
          <w:bCs/>
          <w:iCs/>
          <w:color w:val="4F81BD" w:themeColor="accent1"/>
        </w:rPr>
      </w:pPr>
      <w:r>
        <w:rPr>
          <w:b/>
          <w:bCs/>
          <w:i/>
          <w:color w:val="000000"/>
        </w:rPr>
        <w:lastRenderedPageBreak/>
        <w:t xml:space="preserve">10.01.2025 года Управление по контролю за иностранными активами Министерства финансов США включило в список заблокированных лиц ПАО «Газпром нефть» и </w:t>
      </w:r>
      <w:r>
        <w:rPr>
          <w:b/>
          <w:bCs/>
          <w:i/>
        </w:rPr>
        <w:t xml:space="preserve">некоторые </w:t>
      </w:r>
      <w:r>
        <w:rPr>
          <w:b/>
          <w:bCs/>
          <w:i/>
          <w:color w:val="000000"/>
        </w:rPr>
        <w:t xml:space="preserve">его дочерние организации, НИС а.о. Нови Сад, </w:t>
      </w:r>
      <w:r w:rsidR="00E64C88">
        <w:rPr>
          <w:b/>
          <w:bCs/>
          <w:i/>
          <w:color w:val="000000"/>
        </w:rPr>
        <w:t>АО «Газпром шельфпроект</w:t>
      </w:r>
      <w:r w:rsidR="00E64C88">
        <w:rPr>
          <w:b/>
          <w:bCs/>
          <w:i/>
          <w:color w:val="000000"/>
          <w:sz w:val="22"/>
          <w:szCs w:val="22"/>
        </w:rPr>
        <w:t xml:space="preserve">», </w:t>
      </w:r>
      <w:r>
        <w:rPr>
          <w:b/>
          <w:bCs/>
          <w:i/>
        </w:rPr>
        <w:t>а также совместные предпринимательства</w:t>
      </w:r>
      <w:r>
        <w:rPr>
          <w:b/>
          <w:bCs/>
          <w:i/>
          <w:color w:val="000000"/>
          <w:sz w:val="22"/>
          <w:szCs w:val="22"/>
        </w:rPr>
        <w:t xml:space="preserve"> </w:t>
      </w:r>
      <w:r>
        <w:rPr>
          <w:b/>
          <w:bCs/>
          <w:i/>
          <w:color w:val="000000"/>
        </w:rPr>
        <w:t xml:space="preserve">ООО «РусГазАльянс», ООО «Газпром СПГ Портовая», АО «Ачимгаз» и ООО «ЛВНГ». </w:t>
      </w:r>
    </w:p>
    <w:p w:rsidR="00A02ECF" w:rsidRDefault="006104A2">
      <w:pPr>
        <w:spacing w:before="120"/>
        <w:jc w:val="both"/>
        <w:rPr>
          <w:b/>
          <w:bCs/>
          <w:i/>
          <w:color w:val="000000"/>
        </w:rPr>
      </w:pPr>
      <w:r>
        <w:rPr>
          <w:b/>
          <w:bCs/>
          <w:i/>
          <w:color w:val="000000"/>
        </w:rPr>
        <w:t>10.01.2025 Министерство финансов США опубликовало определение, согласно которому осуществление деятельности в российском</w:t>
      </w:r>
      <w:r>
        <w:rPr>
          <w:b/>
          <w:bCs/>
          <w:i/>
        </w:rPr>
        <w:t xml:space="preserve"> энергетическом</w:t>
      </w:r>
      <w:r>
        <w:rPr>
          <w:b/>
          <w:bCs/>
          <w:i/>
          <w:color w:val="002060"/>
        </w:rPr>
        <w:t xml:space="preserve"> </w:t>
      </w:r>
      <w:r>
        <w:rPr>
          <w:b/>
          <w:bCs/>
          <w:i/>
          <w:color w:val="000000"/>
        </w:rPr>
        <w:t>секторе определено как самостоятельное основание для введения блокирующих санкций США.</w:t>
      </w:r>
    </w:p>
    <w:p w:rsidR="00A02ECF" w:rsidRDefault="006104A2">
      <w:pPr>
        <w:spacing w:before="120"/>
        <w:jc w:val="both"/>
        <w:rPr>
          <w:b/>
          <w:bCs/>
          <w:i/>
        </w:rPr>
      </w:pPr>
      <w:r>
        <w:rPr>
          <w:b/>
          <w:bCs/>
          <w:i/>
          <w:color w:val="000000"/>
        </w:rPr>
        <w:t xml:space="preserve">Кроме того, 10.01.2025 Министерство финансов США опубликовало определение в соответствии с которым американским лицам с 27.02.2025 запрещается предоставление нефтесервисных услуг российским лицам. </w:t>
      </w:r>
    </w:p>
    <w:p w:rsidR="00A02ECF" w:rsidRDefault="00A02ECF">
      <w:pPr>
        <w:tabs>
          <w:tab w:val="left" w:pos="2506"/>
        </w:tabs>
        <w:spacing w:before="120"/>
        <w:jc w:val="both"/>
        <w:rPr>
          <w:b/>
          <w:bCs/>
          <w:u w:val="single"/>
        </w:rPr>
      </w:pPr>
    </w:p>
    <w:p w:rsidR="00A02ECF" w:rsidRDefault="006104A2">
      <w:pPr>
        <w:tabs>
          <w:tab w:val="left" w:pos="2506"/>
        </w:tabs>
        <w:spacing w:before="120"/>
        <w:jc w:val="both"/>
        <w:rPr>
          <w:b/>
          <w:bCs/>
          <w:iCs/>
          <w:u w:val="single"/>
        </w:rPr>
      </w:pPr>
      <w:r>
        <w:rPr>
          <w:b/>
          <w:bCs/>
          <w:u w:val="single"/>
        </w:rPr>
        <w:t>Санкции ЕС</w:t>
      </w:r>
    </w:p>
    <w:p w:rsidR="00A02ECF" w:rsidRDefault="006104A2">
      <w:pPr>
        <w:spacing w:before="120"/>
        <w:jc w:val="both"/>
        <w:rPr>
          <w:b/>
          <w:i/>
          <w:iCs/>
        </w:rPr>
      </w:pPr>
      <w:r>
        <w:rPr>
          <w:b/>
          <w:i/>
          <w:iCs/>
        </w:rPr>
        <w:t xml:space="preserve">24.02.2025 Советом ЕС был принят «шестнадцатый» пакет санкций против России, в рамках которого был введен запрет на осуществление любых транзакций </w:t>
      </w:r>
      <w:r>
        <w:rPr>
          <w:b/>
          <w:bCs/>
          <w:i/>
          <w:iCs/>
        </w:rPr>
        <w:t xml:space="preserve">с </w:t>
      </w:r>
      <w:r w:rsidR="00E64C88">
        <w:rPr>
          <w:b/>
          <w:bCs/>
          <w:i/>
          <w:iCs/>
        </w:rPr>
        <w:t xml:space="preserve">ассоциированной организацией </w:t>
      </w:r>
      <w:r>
        <w:rPr>
          <w:b/>
          <w:bCs/>
          <w:i/>
          <w:iCs/>
        </w:rPr>
        <w:t xml:space="preserve">ОАО «Белгазпромбанк». </w:t>
      </w:r>
      <w:r>
        <w:rPr>
          <w:b/>
          <w:i/>
          <w:iCs/>
        </w:rPr>
        <w:t xml:space="preserve">Новый санкционный пакет также ввел запрет на предоставление товаров, технологий и услуг для завершения российских проектов по добыче нефти. </w:t>
      </w:r>
    </w:p>
    <w:p w:rsidR="00A02ECF" w:rsidRDefault="006104A2">
      <w:pPr>
        <w:spacing w:before="120"/>
        <w:jc w:val="both"/>
        <w:rPr>
          <w:b/>
          <w:i/>
          <w:iCs/>
        </w:rPr>
      </w:pPr>
      <w:r>
        <w:rPr>
          <w:b/>
          <w:i/>
          <w:iCs/>
        </w:rPr>
        <w:t xml:space="preserve">Дополнительно введен запрет на экспорт, поставку или предоставление в Россию программного обеспечения, используемого в процессе разведки нефти и газа, включая программное обеспечение, используемое для бурения и геологических исследований. </w:t>
      </w:r>
    </w:p>
    <w:p w:rsidR="00A02ECF" w:rsidRDefault="006104A2">
      <w:pPr>
        <w:spacing w:before="120"/>
        <w:jc w:val="both"/>
        <w:rPr>
          <w:b/>
          <w:bCs/>
          <w:i/>
          <w:iCs/>
        </w:rPr>
      </w:pPr>
      <w:r>
        <w:rPr>
          <w:b/>
          <w:i/>
          <w:iCs/>
        </w:rPr>
        <w:t xml:space="preserve">Новые санкции ЕС также включают запрет на временное хранение или размещение в рамках процедур свободной зоны российской нефти или нефтепродуктов на территории ЕС (ранее разрешалось, если стоимость нефти соответствовала ценовому пределу и нефть отправлялась в третью страну). </w:t>
      </w:r>
    </w:p>
    <w:p w:rsidR="00A02ECF" w:rsidRDefault="006104A2">
      <w:pPr>
        <w:spacing w:before="120"/>
        <w:jc w:val="both"/>
      </w:pPr>
      <w:r>
        <w:rPr>
          <w:b/>
          <w:i/>
          <w:iCs/>
        </w:rPr>
        <w:t>18.07.2025 Советом ЕС принят «восемнадцатый» пакет санкций, в рамках которого введен запрет для лиц ЕС прямо или косвенно участвовать в любых сделках, связанных с газопроводами «Северный поток» и «Северный поток – 2», касающихся завершения строительства, эксплуатации, технического обслуживания или использования этих газопроводов, а также финансирования указанных работ. Кроме того, с 03.09.2025 ЕС снизил предельный уровень цен на российскую нефть с 60 долл. США до 47,6 долл. США за баррель. Также с 21.01.2026 ЕС ввел запрет на импорт, покупку или поставку прямо или косвенно продуктов нефтепереработки, произведенных из российской нефти и поступающих из третьих стран, в том числе на предоставление финансовой, технической помощи и любых посреднических услуг в связи с указанной поставкой. Дополнительно указанным пакетом санкций ЕС ввел меры по защите государств-членов ЕС от арбитражных разбирательств по двусторонним инвестиционным соглашениям стран ЕС с Российской Федерацией, инициированных российскими лицами, на исполнение которых повлияли санкционные меры, введенные ЕС.</w:t>
      </w:r>
    </w:p>
    <w:p w:rsidR="00A02ECF" w:rsidRDefault="006104A2">
      <w:pPr>
        <w:spacing w:before="120"/>
        <w:jc w:val="both"/>
        <w:rPr>
          <w:b/>
          <w:bCs/>
          <w:i/>
        </w:rPr>
      </w:pPr>
      <w:r>
        <w:rPr>
          <w:b/>
          <w:i/>
          <w:iCs/>
        </w:rPr>
        <w:t>23.10.2025 Советом ЕС принят «девятнадцатый» пакет санкций в отношении Российской Федерации, в рамках которого ЕС ввел запрет с 25.04.2026 года на покупку, импорт или передачу прямо или косвенно в ЕС СПГ, происходящего или экспортируемого из Российской Федерации, а также на предоставление связанной с этим технической или финансовой помощи. Указанный запрет применяется с 01.01.2027 в случае, если покупка, импорт или передача осуществляются в соответствии с контрактом на поставку СПГ, срок действия которого превышает один год и который был заключен до 17.06.2025.</w:t>
      </w:r>
    </w:p>
    <w:p w:rsidR="00A02ECF" w:rsidRDefault="006104A2">
      <w:pPr>
        <w:spacing w:before="120"/>
        <w:jc w:val="both"/>
      </w:pPr>
      <w:r>
        <w:rPr>
          <w:b/>
          <w:i/>
          <w:iCs/>
        </w:rPr>
        <w:t>Дополнительно Совет ЕС отменил некоторые из ранее установленных исключений из запрета для поставки нефти и газа ПАО «Газпром нефть» в ЕС, установленного с 16.03.2022 в рамках запрета на любые прямые или косвенные транзакции с ПАО «Газпром нефть».  В то же время введено исключение, разрешающее (при условии соблюдения установленного ЕС ценового потолка) совершать сделки с ПАО «Газпром нефть», которые необходимы для торговли, транспортировки в третьи страны, а также разрешающие оказание связанной с этим технической помощи, посреднических услуг и финансирования в отношении нефти и нефтепродуктов, которые происходят из Российской Федерации или которые были экспортированы из Российской Федерации. Одновременно до 31.12.2026 продлено исключение для сделок, которые строго необходимы для прекращения совместного предприятия или аналогичного юридического соглашения с ПАО «Газпром нефть», заключенного до 16.03.2022.</w:t>
      </w:r>
    </w:p>
    <w:p w:rsidR="00A02ECF" w:rsidRDefault="00A02ECF">
      <w:pPr>
        <w:tabs>
          <w:tab w:val="left" w:pos="2506"/>
        </w:tabs>
        <w:jc w:val="both"/>
        <w:rPr>
          <w:b/>
          <w:bCs/>
          <w:u w:val="single"/>
        </w:rPr>
      </w:pPr>
    </w:p>
    <w:p w:rsidR="00A02ECF" w:rsidRDefault="006104A2">
      <w:pPr>
        <w:tabs>
          <w:tab w:val="left" w:pos="2506"/>
        </w:tabs>
        <w:spacing w:before="120"/>
        <w:jc w:val="both"/>
        <w:rPr>
          <w:b/>
          <w:bCs/>
          <w:u w:val="single"/>
        </w:rPr>
      </w:pPr>
      <w:r>
        <w:rPr>
          <w:b/>
          <w:bCs/>
          <w:u w:val="single"/>
        </w:rPr>
        <w:t>Прочие санкции</w:t>
      </w:r>
    </w:p>
    <w:p w:rsidR="00A02ECF" w:rsidRDefault="006104A2">
      <w:pPr>
        <w:spacing w:before="120"/>
        <w:jc w:val="both"/>
        <w:rPr>
          <w:b/>
          <w:bCs/>
          <w:i/>
        </w:rPr>
      </w:pPr>
      <w:r>
        <w:rPr>
          <w:b/>
          <w:i/>
        </w:rPr>
        <w:t xml:space="preserve">Санкции в отношении России, в целом, аналогичные санкциям США и ЕС, также были введены в 2025 году рядом иных государств. В частности, </w:t>
      </w:r>
      <w:r>
        <w:rPr>
          <w:b/>
          <w:bCs/>
          <w:i/>
        </w:rPr>
        <w:t xml:space="preserve">10.01.2025 Великобритания ввела блокирующие </w:t>
      </w:r>
      <w:r>
        <w:rPr>
          <w:b/>
          <w:bCs/>
          <w:i/>
        </w:rPr>
        <w:lastRenderedPageBreak/>
        <w:t>санкции в отношении компании Группы Газпром – ПАО «Газпром нефть».</w:t>
      </w:r>
    </w:p>
    <w:p w:rsidR="00A02ECF" w:rsidRDefault="006104A2">
      <w:pPr>
        <w:spacing w:before="120"/>
        <w:jc w:val="both"/>
        <w:rPr>
          <w:b/>
          <w:bCs/>
          <w:i/>
          <w:iCs/>
        </w:rPr>
      </w:pPr>
      <w:r>
        <w:rPr>
          <w:b/>
          <w:i/>
          <w:iCs/>
        </w:rPr>
        <w:t>24.02.2025 Австралия ввела блокирующие санкции в отношении Председателя Совета директоров ПАО «Газпром» В.А. Зубкова.</w:t>
      </w:r>
    </w:p>
    <w:p w:rsidR="00A02ECF" w:rsidRDefault="006104A2">
      <w:pPr>
        <w:spacing w:before="120"/>
        <w:jc w:val="both"/>
        <w:rPr>
          <w:b/>
          <w:i/>
          <w:iCs/>
        </w:rPr>
      </w:pPr>
      <w:r>
        <w:rPr>
          <w:b/>
          <w:i/>
          <w:iCs/>
        </w:rPr>
        <w:t xml:space="preserve">04.03.2025 Швейцария частично присоединилась к «шестнадцатому» пакету санкций ЕС, предусмотрев в том числе запрет на сделки с </w:t>
      </w:r>
      <w:r w:rsidR="00E64C88">
        <w:rPr>
          <w:b/>
          <w:i/>
          <w:iCs/>
        </w:rPr>
        <w:t xml:space="preserve">ассоциированной организацией </w:t>
      </w:r>
      <w:r>
        <w:rPr>
          <w:b/>
          <w:i/>
          <w:iCs/>
        </w:rPr>
        <w:t xml:space="preserve">ОАО «Белгазпромбанк». </w:t>
      </w:r>
    </w:p>
    <w:p w:rsidR="00A02ECF" w:rsidRDefault="006104A2">
      <w:pPr>
        <w:spacing w:before="120"/>
        <w:jc w:val="both"/>
      </w:pPr>
      <w:r>
        <w:rPr>
          <w:b/>
          <w:i/>
          <w:iCs/>
        </w:rPr>
        <w:t>20.05.2025 Великобритания ввела блокирующие санкции в отношении АО «ДРАГА».</w:t>
      </w:r>
    </w:p>
    <w:p w:rsidR="00A02ECF" w:rsidRDefault="006104A2">
      <w:pPr>
        <w:spacing w:before="120"/>
        <w:jc w:val="both"/>
        <w:rPr>
          <w:b/>
          <w:bCs/>
          <w:i/>
        </w:rPr>
      </w:pPr>
      <w:r>
        <w:rPr>
          <w:b/>
          <w:i/>
          <w:iCs/>
        </w:rPr>
        <w:t xml:space="preserve">13.06.2025 Канада ввела блокирующие санкции в отношении </w:t>
      </w:r>
      <w:r>
        <w:rPr>
          <w:b/>
          <w:bCs/>
          <w:i/>
          <w:color w:val="000000"/>
        </w:rPr>
        <w:t>Председателя Правления ПАО «Газпром нефть» А.В. Дюкова и заместителя Председателя Правления ПАО «Газпром» М.Е. Путина</w:t>
      </w:r>
      <w:r>
        <w:rPr>
          <w:b/>
          <w:i/>
          <w:iCs/>
        </w:rPr>
        <w:t>.</w:t>
      </w:r>
      <w:r>
        <w:rPr>
          <w:b/>
          <w:bCs/>
          <w:i/>
        </w:rPr>
        <w:t xml:space="preserve"> </w:t>
      </w:r>
    </w:p>
    <w:p w:rsidR="00A02ECF" w:rsidRDefault="006104A2">
      <w:pPr>
        <w:spacing w:before="120"/>
        <w:jc w:val="both"/>
        <w:rPr>
          <w:b/>
          <w:i/>
        </w:rPr>
      </w:pPr>
      <w:r>
        <w:rPr>
          <w:b/>
          <w:i/>
        </w:rPr>
        <w:t xml:space="preserve">25.06.2025 Австралия ввела блокирующие санкции в отношении отдельных членов органов управления ПАО «Газпром нефть» и </w:t>
      </w:r>
      <w:r w:rsidR="00E64C88">
        <w:rPr>
          <w:b/>
          <w:i/>
        </w:rPr>
        <w:t xml:space="preserve">ассоциированной организации </w:t>
      </w:r>
      <w:r>
        <w:rPr>
          <w:b/>
          <w:bCs/>
          <w:i/>
        </w:rPr>
        <w:t>«Газпромбанк» (Акционерное общество).</w:t>
      </w:r>
    </w:p>
    <w:p w:rsidR="00A02ECF" w:rsidRDefault="006104A2">
      <w:pPr>
        <w:spacing w:before="120"/>
        <w:jc w:val="both"/>
        <w:rPr>
          <w:b/>
          <w:bCs/>
          <w:i/>
        </w:rPr>
      </w:pPr>
      <w:r>
        <w:rPr>
          <w:b/>
          <w:i/>
          <w:iCs/>
        </w:rPr>
        <w:t xml:space="preserve">В августе и сентябре 2025 г. Великобритания, Канада, Австралия, Швейцария и другие страны снизили предельный уровень цен на российскую нефть до 47,6 долл. США за баррель. </w:t>
      </w:r>
    </w:p>
    <w:p w:rsidR="00A02ECF" w:rsidRDefault="006104A2">
      <w:pPr>
        <w:spacing w:before="120"/>
        <w:jc w:val="both"/>
        <w:rPr>
          <w:b/>
          <w:bCs/>
          <w:i/>
          <w:color w:val="000000"/>
        </w:rPr>
      </w:pPr>
      <w:r>
        <w:rPr>
          <w:b/>
          <w:bCs/>
          <w:i/>
          <w:color w:val="000000"/>
        </w:rPr>
        <w:t>30.10.2025 Швейцария присоединилась к «восемнадцатому» пакету санкций ЕС в части санкций, затрагивающих газопроводы «Северный поток» и «Северный поток – 2», а также в части запрета на импорт, покупку или поставку продуктов нефтепереработки, произведенных из российской нефти и поступающих из третьих стран.</w:t>
      </w:r>
    </w:p>
    <w:p w:rsidR="00A02ECF" w:rsidRDefault="006104A2">
      <w:pPr>
        <w:spacing w:before="120"/>
        <w:jc w:val="both"/>
        <w:rPr>
          <w:b/>
          <w:bCs/>
          <w:i/>
          <w:color w:val="000000"/>
        </w:rPr>
      </w:pPr>
      <w:r>
        <w:rPr>
          <w:b/>
          <w:bCs/>
          <w:i/>
          <w:color w:val="000000"/>
        </w:rPr>
        <w:t xml:space="preserve">06.11.2025 Канада ввела блокирующие санкции в отношении ряда российских юридических лиц из энергетического сектора, включая </w:t>
      </w:r>
      <w:r w:rsidR="00531E25">
        <w:rPr>
          <w:b/>
          <w:bCs/>
          <w:i/>
          <w:color w:val="000000"/>
        </w:rPr>
        <w:t xml:space="preserve">совместное предпринимательство </w:t>
      </w:r>
      <w:r>
        <w:rPr>
          <w:b/>
          <w:bCs/>
          <w:i/>
          <w:color w:val="000000"/>
        </w:rPr>
        <w:t>ООО «Газпром СПГ Портовая».</w:t>
      </w:r>
    </w:p>
    <w:p w:rsidR="00A02ECF" w:rsidRDefault="00A02ECF">
      <w:pPr>
        <w:spacing w:before="120"/>
        <w:jc w:val="both"/>
        <w:rPr>
          <w:b/>
          <w:u w:val="single"/>
        </w:rPr>
      </w:pPr>
    </w:p>
    <w:p w:rsidR="00A02ECF" w:rsidRDefault="006104A2">
      <w:pPr>
        <w:spacing w:before="120"/>
        <w:jc w:val="both"/>
        <w:rPr>
          <w:b/>
          <w:u w:val="single"/>
        </w:rPr>
      </w:pPr>
      <w:r>
        <w:rPr>
          <w:b/>
          <w:u w:val="single"/>
        </w:rPr>
        <w:t>События после отчетной даты (31.12.2025)</w:t>
      </w:r>
    </w:p>
    <w:p w:rsidR="00A02ECF" w:rsidRDefault="006104A2">
      <w:pPr>
        <w:spacing w:before="120"/>
        <w:jc w:val="both"/>
        <w:rPr>
          <w:b/>
          <w:bCs/>
          <w:i/>
        </w:rPr>
      </w:pPr>
      <w:r>
        <w:rPr>
          <w:b/>
          <w:i/>
          <w:iCs/>
        </w:rPr>
        <w:t>14.01.2026 ЕС снизил предельный уровень цен на российскую нефть с 47,6 до 44,1 долл. США за баррель в рамках механизма корректировки цен, установленного пакетом санкций ЕС, принятым 23.10.2025. Новый уровень цен действует с 01.02.2026. В январе и феврале 2026 г. предельный уровень цен на российскую нефть также снизили Великобритания, Канада, Австралия и Швейцария.</w:t>
      </w:r>
    </w:p>
    <w:p w:rsidR="00A02ECF" w:rsidRDefault="006104A2">
      <w:pPr>
        <w:spacing w:before="119"/>
        <w:jc w:val="both"/>
      </w:pPr>
      <w:r>
        <w:rPr>
          <w:b/>
          <w:i/>
          <w:iCs/>
        </w:rPr>
        <w:t xml:space="preserve">24.02.2026 Великобритания ввела блокирующие санкции в отношении </w:t>
      </w:r>
      <w:r w:rsidR="00531E25">
        <w:rPr>
          <w:b/>
          <w:i/>
          <w:iCs/>
        </w:rPr>
        <w:t xml:space="preserve">совместного предпринимательства </w:t>
      </w:r>
      <w:r>
        <w:rPr>
          <w:b/>
          <w:i/>
          <w:iCs/>
        </w:rPr>
        <w:t xml:space="preserve">ООО «Газпром СПГ Портовая». </w:t>
      </w:r>
    </w:p>
    <w:p w:rsidR="00A02ECF" w:rsidRDefault="006104A2">
      <w:pPr>
        <w:pStyle w:val="aff4"/>
        <w:ind w:left="0"/>
        <w:rPr>
          <w:b/>
          <w:bCs/>
          <w:i/>
          <w:szCs w:val="20"/>
          <w:lang w:val="ru-RU"/>
        </w:rPr>
      </w:pPr>
      <w:r>
        <w:rPr>
          <w:b/>
          <w:i/>
          <w:iCs/>
          <w:szCs w:val="20"/>
          <w:lang w:val="ru-RU"/>
        </w:rPr>
        <w:t>25.02.2026 Швейцария присоединилась к «девятнадцатому» пакету санкций ЕС, включая, в частности, запрет на импорт в Швейцарию СПГ, происходящего или экспортируемого из России.</w:t>
      </w:r>
    </w:p>
    <w:p w:rsidR="00A02ECF" w:rsidRDefault="006104A2">
      <w:pPr>
        <w:spacing w:before="120" w:after="120"/>
        <w:jc w:val="both"/>
        <w:rPr>
          <w:b/>
          <w:bCs/>
          <w:i/>
          <w:iCs/>
        </w:rPr>
      </w:pPr>
      <w:r>
        <w:rPr>
          <w:b/>
          <w:bCs/>
          <w:i/>
          <w:iCs/>
        </w:rPr>
        <w:t xml:space="preserve">23.04.2026 ЕС утвердил «двадцатый» пакет санкций в отношении России, в рамках которого включил в список блокирующих санкций ряд компаний энергетического сектора, в том числе </w:t>
      </w:r>
      <w:r>
        <w:rPr>
          <w:rFonts w:hint="eastAsia"/>
          <w:b/>
          <w:bCs/>
          <w:i/>
          <w:iCs/>
        </w:rPr>
        <w:t>ООО</w:t>
      </w:r>
      <w:r>
        <w:rPr>
          <w:b/>
          <w:bCs/>
          <w:i/>
          <w:iCs/>
        </w:rPr>
        <w:t xml:space="preserve"> </w:t>
      </w:r>
      <w:r>
        <w:rPr>
          <w:rFonts w:hint="eastAsia"/>
          <w:b/>
          <w:bCs/>
          <w:i/>
          <w:iCs/>
        </w:rPr>
        <w:t>«Газпром</w:t>
      </w:r>
      <w:r>
        <w:rPr>
          <w:b/>
          <w:bCs/>
          <w:i/>
          <w:iCs/>
        </w:rPr>
        <w:t xml:space="preserve"> </w:t>
      </w:r>
      <w:r>
        <w:rPr>
          <w:rFonts w:hint="eastAsia"/>
          <w:b/>
          <w:bCs/>
          <w:i/>
          <w:iCs/>
        </w:rPr>
        <w:t>флот»</w:t>
      </w:r>
      <w:r>
        <w:rPr>
          <w:b/>
          <w:bCs/>
          <w:i/>
          <w:iCs/>
        </w:rPr>
        <w:t xml:space="preserve">, </w:t>
      </w:r>
      <w:r>
        <w:rPr>
          <w:rFonts w:hint="eastAsia"/>
          <w:b/>
          <w:bCs/>
          <w:i/>
          <w:iCs/>
        </w:rPr>
        <w:t>ООО «Газпром</w:t>
      </w:r>
      <w:r>
        <w:rPr>
          <w:b/>
          <w:bCs/>
          <w:i/>
          <w:iCs/>
        </w:rPr>
        <w:t xml:space="preserve"> </w:t>
      </w:r>
      <w:r>
        <w:rPr>
          <w:rFonts w:hint="eastAsia"/>
          <w:b/>
          <w:bCs/>
          <w:i/>
          <w:iCs/>
        </w:rPr>
        <w:t>СПГ</w:t>
      </w:r>
      <w:r>
        <w:rPr>
          <w:b/>
          <w:bCs/>
          <w:i/>
          <w:iCs/>
        </w:rPr>
        <w:t xml:space="preserve"> </w:t>
      </w:r>
      <w:r>
        <w:rPr>
          <w:rFonts w:hint="eastAsia"/>
          <w:b/>
          <w:bCs/>
          <w:i/>
          <w:iCs/>
        </w:rPr>
        <w:t>Технологии»</w:t>
      </w:r>
      <w:r w:rsidR="004C0A94">
        <w:rPr>
          <w:b/>
          <w:bCs/>
          <w:i/>
          <w:iCs/>
        </w:rPr>
        <w:t xml:space="preserve"> (совместное предпринимательство)</w:t>
      </w:r>
      <w:r>
        <w:rPr>
          <w:b/>
          <w:bCs/>
          <w:i/>
          <w:iCs/>
        </w:rPr>
        <w:t xml:space="preserve">, </w:t>
      </w:r>
      <w:r>
        <w:rPr>
          <w:rFonts w:hint="eastAsia"/>
          <w:b/>
          <w:bCs/>
          <w:i/>
          <w:iCs/>
        </w:rPr>
        <w:t>АО</w:t>
      </w:r>
      <w:r>
        <w:rPr>
          <w:b/>
          <w:bCs/>
          <w:i/>
          <w:iCs/>
        </w:rPr>
        <w:t> </w:t>
      </w:r>
      <w:r>
        <w:rPr>
          <w:rFonts w:hint="eastAsia"/>
          <w:b/>
          <w:bCs/>
          <w:i/>
          <w:iCs/>
        </w:rPr>
        <w:t>«Газстройпром»</w:t>
      </w:r>
      <w:r w:rsidR="004C0A94">
        <w:rPr>
          <w:b/>
          <w:bCs/>
          <w:i/>
          <w:iCs/>
        </w:rPr>
        <w:t xml:space="preserve"> (ассоциированная организация)</w:t>
      </w:r>
      <w:r>
        <w:rPr>
          <w:b/>
          <w:bCs/>
          <w:i/>
          <w:iCs/>
        </w:rPr>
        <w:t xml:space="preserve">, </w:t>
      </w:r>
      <w:r>
        <w:rPr>
          <w:rFonts w:hint="eastAsia"/>
          <w:b/>
          <w:bCs/>
          <w:i/>
          <w:iCs/>
        </w:rPr>
        <w:t>ООО</w:t>
      </w:r>
      <w:r>
        <w:rPr>
          <w:b/>
          <w:bCs/>
          <w:i/>
          <w:iCs/>
        </w:rPr>
        <w:t xml:space="preserve"> </w:t>
      </w:r>
      <w:r>
        <w:rPr>
          <w:rFonts w:hint="eastAsia"/>
          <w:b/>
          <w:bCs/>
          <w:i/>
          <w:iCs/>
        </w:rPr>
        <w:t>«Газпромнефть</w:t>
      </w:r>
      <w:r>
        <w:rPr>
          <w:b/>
          <w:bCs/>
          <w:i/>
          <w:iCs/>
        </w:rPr>
        <w:t xml:space="preserve"> </w:t>
      </w:r>
      <w:r>
        <w:rPr>
          <w:rFonts w:hint="eastAsia"/>
          <w:b/>
          <w:bCs/>
          <w:i/>
          <w:iCs/>
        </w:rPr>
        <w:t>Марин</w:t>
      </w:r>
      <w:r>
        <w:rPr>
          <w:b/>
          <w:bCs/>
          <w:i/>
          <w:iCs/>
        </w:rPr>
        <w:t xml:space="preserve"> </w:t>
      </w:r>
      <w:r>
        <w:rPr>
          <w:rFonts w:hint="eastAsia"/>
          <w:b/>
          <w:bCs/>
          <w:i/>
          <w:iCs/>
        </w:rPr>
        <w:t>Бункер»</w:t>
      </w:r>
      <w:r>
        <w:rPr>
          <w:b/>
          <w:bCs/>
          <w:i/>
          <w:iCs/>
        </w:rPr>
        <w:t xml:space="preserve">, а также с 25.04.2026 ввел запрет для лиц ЕС по предоставлению прямо или косвенно технической помощи, посреднических услуг или финансирования танкерам для перевозки сжиженного природного газа (СПГ-танкеры), зарегистрированным под российским флагом или в Российском морском регистре судоходства, или принадлежащим или управляемым российскими лицами, </w:t>
      </w:r>
      <w:r>
        <w:rPr>
          <w:rFonts w:hint="eastAsia"/>
          <w:b/>
          <w:bCs/>
          <w:i/>
          <w:iCs/>
        </w:rPr>
        <w:t>а</w:t>
      </w:r>
      <w:r>
        <w:rPr>
          <w:b/>
          <w:bCs/>
          <w:i/>
          <w:iCs/>
        </w:rPr>
        <w:t xml:space="preserve"> </w:t>
      </w:r>
      <w:r>
        <w:rPr>
          <w:rFonts w:hint="eastAsia"/>
          <w:b/>
          <w:bCs/>
          <w:i/>
          <w:iCs/>
        </w:rPr>
        <w:t>с</w:t>
      </w:r>
      <w:r>
        <w:rPr>
          <w:b/>
          <w:bCs/>
          <w:i/>
          <w:iCs/>
        </w:rPr>
        <w:t xml:space="preserve"> 01.01.2027 – </w:t>
      </w:r>
      <w:r>
        <w:rPr>
          <w:rFonts w:hint="eastAsia"/>
          <w:b/>
          <w:bCs/>
          <w:i/>
          <w:iCs/>
        </w:rPr>
        <w:t>СПГ</w:t>
      </w:r>
      <w:r>
        <w:rPr>
          <w:b/>
          <w:bCs/>
          <w:i/>
          <w:iCs/>
        </w:rPr>
        <w:t>-</w:t>
      </w:r>
      <w:r>
        <w:rPr>
          <w:rFonts w:hint="eastAsia"/>
          <w:b/>
          <w:bCs/>
          <w:i/>
          <w:iCs/>
        </w:rPr>
        <w:t>танкерам,</w:t>
      </w:r>
      <w:r>
        <w:rPr>
          <w:b/>
          <w:bCs/>
          <w:i/>
          <w:iCs/>
        </w:rPr>
        <w:t xml:space="preserve"> </w:t>
      </w:r>
      <w:r>
        <w:rPr>
          <w:rFonts w:hint="eastAsia"/>
          <w:b/>
          <w:bCs/>
          <w:i/>
          <w:iCs/>
        </w:rPr>
        <w:t>осуществляющим</w:t>
      </w:r>
      <w:r>
        <w:rPr>
          <w:b/>
          <w:bCs/>
          <w:i/>
          <w:iCs/>
        </w:rPr>
        <w:t xml:space="preserve"> </w:t>
      </w:r>
      <w:r>
        <w:rPr>
          <w:rFonts w:hint="eastAsia"/>
          <w:b/>
          <w:bCs/>
          <w:i/>
          <w:iCs/>
        </w:rPr>
        <w:t>деятельность</w:t>
      </w:r>
      <w:r>
        <w:rPr>
          <w:b/>
          <w:bCs/>
          <w:i/>
          <w:iCs/>
        </w:rPr>
        <w:t xml:space="preserve"> </w:t>
      </w:r>
      <w:r>
        <w:rPr>
          <w:rFonts w:hint="eastAsia"/>
          <w:b/>
          <w:bCs/>
          <w:i/>
          <w:iCs/>
        </w:rPr>
        <w:t>в</w:t>
      </w:r>
      <w:r>
        <w:rPr>
          <w:b/>
          <w:bCs/>
          <w:i/>
          <w:iCs/>
        </w:rPr>
        <w:t xml:space="preserve"> </w:t>
      </w:r>
      <w:r>
        <w:rPr>
          <w:rFonts w:hint="eastAsia"/>
          <w:b/>
          <w:bCs/>
          <w:i/>
          <w:iCs/>
        </w:rPr>
        <w:t>России</w:t>
      </w:r>
      <w:r>
        <w:rPr>
          <w:b/>
          <w:bCs/>
          <w:i/>
          <w:iCs/>
        </w:rPr>
        <w:t xml:space="preserve"> или используемым в России. Кроме того, с 01.01.2027 для лиц ЕС будет незаконно предоставлять услуги по обслуживанию СПГ-терминалов российским лицам или организациям, принадлежащим или контролируемым российскими лицами или операторами.</w:t>
      </w:r>
    </w:p>
    <w:p w:rsidR="00A21ED4" w:rsidRPr="00A21ED4" w:rsidRDefault="00A21ED4" w:rsidP="00A21ED4">
      <w:pPr>
        <w:spacing w:before="120" w:after="120"/>
        <w:jc w:val="both"/>
        <w:rPr>
          <w:b/>
          <w:bCs/>
          <w:i/>
          <w:iCs/>
        </w:rPr>
      </w:pPr>
      <w:r w:rsidRPr="00A21ED4">
        <w:rPr>
          <w:b/>
          <w:bCs/>
          <w:i/>
          <w:iCs/>
        </w:rPr>
        <w:t xml:space="preserve">22.05.2026 Швейцария присоединилась к «двадцатому» пакету санкций ЕС в части блокирующих санкций в отношении компаний российского энергетического сектора. </w:t>
      </w:r>
    </w:p>
    <w:p w:rsidR="00A02ECF" w:rsidRPr="00A21ED4" w:rsidRDefault="00A21ED4" w:rsidP="00A21ED4">
      <w:pPr>
        <w:spacing w:before="120" w:after="120"/>
        <w:jc w:val="both"/>
        <w:rPr>
          <w:b/>
          <w:bCs/>
          <w:i/>
          <w:iCs/>
        </w:rPr>
      </w:pPr>
      <w:r w:rsidRPr="00A21ED4">
        <w:rPr>
          <w:b/>
          <w:bCs/>
          <w:i/>
          <w:iCs/>
        </w:rPr>
        <w:t xml:space="preserve">В период с марта по май 2026 года Управление по контролю за иностранными активами Министерства финансов США выпустило несколько временных лицензий, разрешающих операции, необходимые для продажи, доставки или разгрузки нефти и нефтепродуктов российского происхождения. Последняя лицензия была выпущена 18.05.2026 и </w:t>
      </w:r>
      <w:r>
        <w:rPr>
          <w:b/>
          <w:bCs/>
          <w:i/>
          <w:iCs/>
        </w:rPr>
        <w:t>разрешает указанные операции до</w:t>
      </w:r>
      <w:r>
        <w:rPr>
          <w:b/>
          <w:bCs/>
          <w:i/>
          <w:iCs/>
          <w:lang w:val="en-US"/>
        </w:rPr>
        <w:t> </w:t>
      </w:r>
      <w:r w:rsidRPr="00A21ED4">
        <w:rPr>
          <w:b/>
          <w:bCs/>
          <w:i/>
          <w:iCs/>
        </w:rPr>
        <w:t>17.06.2026 в отношении нефти и нефтепродуктов, погруженных на судно не позднее 17.04.2026.</w:t>
      </w:r>
    </w:p>
    <w:p w:rsidR="00A02ECF" w:rsidRDefault="006104A2">
      <w:pPr>
        <w:pStyle w:val="2"/>
        <w:rPr>
          <w:color w:val="000000"/>
        </w:rPr>
      </w:pPr>
      <w:bookmarkStart w:id="158" w:name="_Toc230104310"/>
      <w:bookmarkEnd w:id="147"/>
      <w:bookmarkEnd w:id="154"/>
      <w:r>
        <w:rPr>
          <w:color w:val="000000"/>
        </w:rPr>
        <w:t>1.9.3. Финансовые риски</w:t>
      </w:r>
      <w:bookmarkEnd w:id="155"/>
      <w:bookmarkEnd w:id="158"/>
    </w:p>
    <w:p w:rsidR="00A02ECF" w:rsidRDefault="006104A2">
      <w:pPr>
        <w:spacing w:before="120"/>
        <w:jc w:val="both"/>
        <w:rPr>
          <w:b/>
          <w:bCs/>
          <w:i/>
          <w:iCs/>
          <w:u w:val="single"/>
        </w:rPr>
      </w:pPr>
      <w:bookmarkStart w:id="159" w:name="_Hlk194673640"/>
      <w:r>
        <w:rPr>
          <w:b/>
          <w:bCs/>
          <w:i/>
          <w:iCs/>
          <w:u w:val="single"/>
        </w:rPr>
        <w:t>Риски, связанные с кредитно-денежной политикой Центрального Банка Российской Федерации</w:t>
      </w:r>
    </w:p>
    <w:p w:rsidR="00A02ECF" w:rsidRDefault="006104A2">
      <w:pPr>
        <w:spacing w:before="120"/>
        <w:jc w:val="both"/>
        <w:rPr>
          <w:b/>
          <w:i/>
          <w:highlight w:val="yellow"/>
        </w:rPr>
      </w:pPr>
      <w:bookmarkStart w:id="160" w:name="_Hlk112667727"/>
      <w:bookmarkStart w:id="161" w:name="_Hlk193452408"/>
      <w:bookmarkStart w:id="162" w:name="_Hlk193451832"/>
      <w:bookmarkEnd w:id="156"/>
      <w:bookmarkEnd w:id="157"/>
      <w:bookmarkEnd w:id="159"/>
      <w:r>
        <w:rPr>
          <w:b/>
          <w:i/>
        </w:rPr>
        <w:t xml:space="preserve">Для достижения цели по инфляции Банк России реализует денежно-кредитную политику в рамках режима таргетирования инфляции. Цель по инфляции установлена для годового темпа прироста потребительских цен, то есть изменения за последние 12 месяцев общего уровня цен на товары и услуги. Банк России определил целью денежно-кредитной политики снижение годовой инфляции до </w:t>
      </w:r>
      <w:r>
        <w:rPr>
          <w:b/>
          <w:i/>
        </w:rPr>
        <w:lastRenderedPageBreak/>
        <w:t xml:space="preserve">4% и поддержание ее вблизи этого уровня в дальнейшем. </w:t>
      </w:r>
      <w:r>
        <w:rPr>
          <w:b/>
          <w:bCs/>
          <w:i/>
          <w:iCs/>
        </w:rPr>
        <w:t>По мнению Банка России,</w:t>
      </w:r>
      <w:r>
        <w:rPr>
          <w:b/>
          <w:i/>
        </w:rPr>
        <w:t xml:space="preserve"> проинфляционные риски по-прежнему преобладают над дезинфляционными на среднесрочном горизонте. Основные проинфляционные риски связаны с ухудшением перспектив мировой экономики, ростом ценового давления в мире на фоне усиления геополитической напряженности и высокими инфляционными ожиданиями. Дезинфляционные риски связаны с более значительным замедлением внутреннего спроса.</w:t>
      </w:r>
    </w:p>
    <w:p w:rsidR="00A02ECF" w:rsidRDefault="006104A2">
      <w:pPr>
        <w:spacing w:before="120"/>
        <w:jc w:val="both"/>
        <w:rPr>
          <w:b/>
          <w:i/>
        </w:rPr>
      </w:pPr>
      <w:r>
        <w:rPr>
          <w:b/>
          <w:bCs/>
          <w:i/>
          <w:iCs/>
        </w:rPr>
        <w:t>По оценке Банка России, введение санкций и существенный рост неопределенности привели к значительной волатильности на финансовом рынке, увеличению количества факторов риска, влияющих на финансовую стабильность, росту инфляционных и девальвационных ожиданий. Банк России, Правительство Российской Федерации и другие государственные органы приняли комплекс мер, которые позволили снизить риски, связанные с финансовой стабильностью, поддержать устойчивость банковского сектора и в целом стабилизировать ситуацию. В течение первого полугодия 2025 года ключевая ставка держалась на уровне 21% годовых. На заседании Совета директоров Банка России 06.06.2025 было принято решение о начале цикла снижения ставки до 20% годовых, далее</w:t>
      </w:r>
      <w:r>
        <w:t xml:space="preserve"> </w:t>
      </w:r>
      <w:r>
        <w:rPr>
          <w:b/>
          <w:bCs/>
          <w:i/>
          <w:iCs/>
        </w:rPr>
        <w:t>на заседании 25.07.2025 ключевая ставка была снижена до 18% годовых, а на заседании 12.09.2025 – еще на 100 б.п. до 17% годовых.</w:t>
      </w:r>
      <w:r>
        <w:t xml:space="preserve"> </w:t>
      </w:r>
      <w:r>
        <w:rPr>
          <w:b/>
          <w:i/>
        </w:rPr>
        <w:t xml:space="preserve">В дальнейшем Совет директоров Банка России последовательно снижал ключевую ставку на 50 б.п. на каждом из заседаний, в результате чего </w:t>
      </w:r>
      <w:bookmarkStart w:id="163" w:name="_Hlk199757693"/>
      <w:r>
        <w:rPr>
          <w:b/>
          <w:i/>
        </w:rPr>
        <w:t xml:space="preserve">по итогам заседания 24.04.2026 ключевая ставка снизилась до 14,50% годовых. </w:t>
      </w:r>
    </w:p>
    <w:p w:rsidR="00A02ECF" w:rsidRDefault="006104A2">
      <w:pPr>
        <w:spacing w:before="120"/>
        <w:jc w:val="both"/>
        <w:rPr>
          <w:b/>
          <w:bCs/>
          <w:i/>
          <w:iCs/>
        </w:rPr>
      </w:pPr>
      <w:r>
        <w:rPr>
          <w:b/>
          <w:bCs/>
          <w:i/>
          <w:iCs/>
        </w:rPr>
        <w:t>На ближайших заседаниях Банк России будет оценивать целесообразность дальнейшего снижения ключевой ставки в зависимости от устойчивости замедления инфляции, динамики инфляционных ожиданий, а также оценки рисков со стороны внешних и внутренних условий. По прогнозу Банка России, с учетом проводимой денежно-кредитной политики в 2026 году годовая инфляция снизится до 4,5–5,5%. Устойчивая инфляция сложится вблизи 4% во втором полугодии 2026 года и далее будет сохраняться на этом уровне. В соответствии с прогнозом средняя ключевая ставка прогнозируется в диапазоне 14,0-14,5% в 2026 году.</w:t>
      </w:r>
    </w:p>
    <w:p w:rsidR="00A02ECF" w:rsidRDefault="006104A2">
      <w:pPr>
        <w:spacing w:before="120"/>
        <w:jc w:val="both"/>
        <w:rPr>
          <w:b/>
          <w:bCs/>
          <w:i/>
          <w:iCs/>
        </w:rPr>
      </w:pPr>
      <w:r>
        <w:rPr>
          <w:b/>
          <w:bCs/>
          <w:i/>
          <w:iCs/>
        </w:rPr>
        <w:t>Проведенные в отчетном периоде мероприятия позволили удерживать уровень рисков в приемлемом для ПАО «Газпром» диапазоне.</w:t>
      </w:r>
      <w:bookmarkEnd w:id="163"/>
    </w:p>
    <w:p w:rsidR="00A02ECF" w:rsidRDefault="00A02ECF">
      <w:pPr>
        <w:tabs>
          <w:tab w:val="left" w:pos="2506"/>
        </w:tabs>
        <w:spacing w:before="0" w:after="0"/>
        <w:jc w:val="both"/>
        <w:rPr>
          <w:b/>
          <w:bCs/>
          <w:i/>
          <w:iCs/>
          <w:u w:val="single"/>
        </w:rPr>
      </w:pPr>
    </w:p>
    <w:p w:rsidR="00A02ECF" w:rsidRDefault="006104A2">
      <w:pPr>
        <w:tabs>
          <w:tab w:val="left" w:pos="2506"/>
        </w:tabs>
        <w:spacing w:before="120"/>
        <w:jc w:val="both"/>
        <w:rPr>
          <w:b/>
          <w:bCs/>
          <w:i/>
          <w:iCs/>
          <w:u w:val="single"/>
        </w:rPr>
      </w:pPr>
      <w:r>
        <w:rPr>
          <w:b/>
          <w:bCs/>
          <w:i/>
          <w:iCs/>
          <w:u w:val="single"/>
        </w:rPr>
        <w:t>Риск мирового финансового кризиса</w:t>
      </w:r>
    </w:p>
    <w:p w:rsidR="00A02ECF" w:rsidRDefault="006104A2">
      <w:pPr>
        <w:spacing w:before="120"/>
        <w:jc w:val="both"/>
        <w:rPr>
          <w:b/>
          <w:i/>
        </w:rPr>
      </w:pPr>
      <w:r>
        <w:rPr>
          <w:b/>
          <w:i/>
        </w:rPr>
        <w:t>Неблагоприятные экономические условия на мировых финансовых рынках могут оказать негативное влияние на способность Группы Газпром рефинансировать текущую часть задолженности на</w:t>
      </w:r>
      <w:r>
        <w:rPr>
          <w:b/>
          <w:i/>
          <w:lang w:val="en-US"/>
        </w:rPr>
        <w:t> </w:t>
      </w:r>
      <w:r>
        <w:rPr>
          <w:b/>
          <w:i/>
        </w:rPr>
        <w:t>прежних условиях. Общее снижение уровня ликвидности может оказать влияние на</w:t>
      </w:r>
      <w:r>
        <w:rPr>
          <w:b/>
          <w:i/>
          <w:lang w:val="en-US"/>
        </w:rPr>
        <w:t> </w:t>
      </w:r>
      <w:r>
        <w:rPr>
          <w:b/>
          <w:i/>
        </w:rPr>
        <w:t>платежеспособность контрагентов Группы Газпром и их способность обеспечивать своевременное погашение задолженности перед Обществом.</w:t>
      </w:r>
    </w:p>
    <w:p w:rsidR="00A02ECF" w:rsidRDefault="006104A2">
      <w:pPr>
        <w:spacing w:before="120"/>
        <w:jc w:val="both"/>
        <w:rPr>
          <w:b/>
          <w:i/>
          <w:highlight w:val="yellow"/>
        </w:rPr>
      </w:pPr>
      <w:r>
        <w:rPr>
          <w:b/>
          <w:i/>
        </w:rPr>
        <w:t xml:space="preserve">В 2025 году расширялись кризисные явления в экономиках еврозоны, США, Великобритании и Японии. В 2025 году в странах еврозоны отмечается особенно резкий спад промышленного производства. Нарастают бюджетные проблемы с обслуживанием накопленных государственных долгов ряда стран, и особенно это характерно для экономики США. Военные действия в Персидском заливе, начавшиеся в марте 2026 г., резко обострили ситуацию на мировых рынках, в первую очередь на рынке энергоносителей и минеральных удобрений. В результате эскалации военного конфликта повышаются негативные риски начала очередного мирового финансового кризиса с непредсказуемыми последствиями для глобальной экономики.  </w:t>
      </w:r>
    </w:p>
    <w:p w:rsidR="00A02ECF" w:rsidRDefault="006104A2">
      <w:pPr>
        <w:tabs>
          <w:tab w:val="left" w:pos="2506"/>
        </w:tabs>
        <w:spacing w:before="120"/>
        <w:jc w:val="both"/>
        <w:rPr>
          <w:b/>
          <w:bCs/>
          <w:i/>
          <w:iCs/>
          <w:u w:val="single"/>
        </w:rPr>
      </w:pPr>
      <w:r>
        <w:rPr>
          <w:b/>
          <w:i/>
        </w:rPr>
        <w:t>В текущих условиях функционирования мировой экономики ПАО «Газпром» предпринимает необходимые меры по обеспечению устойчивого развития деятельности Группы. Проведенные в отчетном периоде мероприятия по управлению рисками позволили удерживать уровень рисков в приемлемом для ПАО «Газпром» диапазоне.</w:t>
      </w:r>
    </w:p>
    <w:p w:rsidR="00A02ECF" w:rsidRDefault="00A02ECF">
      <w:pPr>
        <w:tabs>
          <w:tab w:val="left" w:pos="2506"/>
        </w:tabs>
        <w:spacing w:before="120"/>
        <w:jc w:val="both"/>
        <w:rPr>
          <w:b/>
          <w:bCs/>
          <w:i/>
          <w:iCs/>
          <w:highlight w:val="cyan"/>
          <w:u w:val="single"/>
        </w:rPr>
      </w:pPr>
    </w:p>
    <w:p w:rsidR="00A02ECF" w:rsidRDefault="006104A2">
      <w:pPr>
        <w:tabs>
          <w:tab w:val="left" w:pos="2506"/>
        </w:tabs>
        <w:spacing w:before="120"/>
        <w:jc w:val="both"/>
        <w:rPr>
          <w:b/>
          <w:bCs/>
          <w:i/>
          <w:iCs/>
          <w:u w:val="single"/>
        </w:rPr>
      </w:pPr>
      <w:r>
        <w:rPr>
          <w:b/>
          <w:bCs/>
          <w:i/>
          <w:iCs/>
          <w:u w:val="single"/>
        </w:rPr>
        <w:t>Риски, связанные с изменениями валютных курсов</w:t>
      </w:r>
    </w:p>
    <w:p w:rsidR="00A02ECF" w:rsidRDefault="006104A2">
      <w:pPr>
        <w:spacing w:before="120"/>
        <w:jc w:val="both"/>
        <w:rPr>
          <w:b/>
          <w:bCs/>
          <w:i/>
        </w:rPr>
      </w:pPr>
      <w:r>
        <w:rPr>
          <w:b/>
          <w:i/>
        </w:rPr>
        <w:t xml:space="preserve">Валютный риск – риск снижения денежного потока Группы Газпром вследствие неблагоприятного изменения курсов иностранных валют. </w:t>
      </w:r>
    </w:p>
    <w:p w:rsidR="00A02ECF" w:rsidRDefault="006104A2">
      <w:pPr>
        <w:spacing w:before="120"/>
        <w:jc w:val="both"/>
        <w:rPr>
          <w:b/>
          <w:bCs/>
          <w:i/>
        </w:rPr>
      </w:pPr>
      <w:r>
        <w:rPr>
          <w:b/>
          <w:i/>
        </w:rPr>
        <w:t>На показатели прибыли от продаж Группы Газпром негативное влияние может оказывать укрепление курса рубля к доллару США, и/или евро и/или юаню, поскольку это снижает выручку относительно затрат. При</w:t>
      </w:r>
      <w:r>
        <w:rPr>
          <w:b/>
          <w:i/>
          <w:lang w:val="en-US"/>
        </w:rPr>
        <w:t> </w:t>
      </w:r>
      <w:r>
        <w:rPr>
          <w:b/>
          <w:i/>
        </w:rPr>
        <w:t>этом укрепление рубля по отношению к доллару США и/или евро может привести к снижению долговой нагрузки вследствие переоценки валютных обязательств.</w:t>
      </w:r>
    </w:p>
    <w:p w:rsidR="00A02ECF" w:rsidRDefault="006104A2">
      <w:pPr>
        <w:spacing w:before="120"/>
        <w:jc w:val="both"/>
        <w:rPr>
          <w:b/>
          <w:bCs/>
          <w:i/>
        </w:rPr>
      </w:pPr>
      <w:r>
        <w:rPr>
          <w:b/>
          <w:i/>
        </w:rPr>
        <w:t>В течение 2025 года ПАО «Газпром» продолжило увеличивать долю долгосрочных рублевых кредитов и кредитов в</w:t>
      </w:r>
      <w:r>
        <w:rPr>
          <w:b/>
          <w:i/>
          <w:lang w:val="en-US"/>
        </w:rPr>
        <w:t> </w:t>
      </w:r>
      <w:r>
        <w:rPr>
          <w:b/>
          <w:i/>
        </w:rPr>
        <w:t xml:space="preserve">валютах дружественных стран в кредитном портфеле, что обуславливает </w:t>
      </w:r>
      <w:r>
        <w:rPr>
          <w:b/>
          <w:i/>
        </w:rPr>
        <w:lastRenderedPageBreak/>
        <w:t>последовательное снижение в</w:t>
      </w:r>
      <w:r>
        <w:rPr>
          <w:b/>
          <w:i/>
          <w:lang w:val="en-US"/>
        </w:rPr>
        <w:t> </w:t>
      </w:r>
      <w:r>
        <w:rPr>
          <w:b/>
          <w:i/>
        </w:rPr>
        <w:t>среднесрочной перспективе волатильности кредитного портфеля в процессе его обслуживания в</w:t>
      </w:r>
      <w:r>
        <w:rPr>
          <w:b/>
          <w:i/>
          <w:lang w:val="en-US"/>
        </w:rPr>
        <w:t> </w:t>
      </w:r>
      <w:r>
        <w:rPr>
          <w:b/>
          <w:i/>
        </w:rPr>
        <w:t>отношении доли валют недружественных стран.</w:t>
      </w:r>
    </w:p>
    <w:p w:rsidR="00A02ECF" w:rsidRDefault="006104A2">
      <w:pPr>
        <w:spacing w:before="120"/>
        <w:jc w:val="both"/>
        <w:rPr>
          <w:b/>
          <w:i/>
        </w:rPr>
      </w:pPr>
      <w:r>
        <w:rPr>
          <w:b/>
          <w:i/>
        </w:rPr>
        <w:t>В целях снижения влияния валютных рисков Группа Газпром поддерживает остатки денежных средств в</w:t>
      </w:r>
      <w:r>
        <w:rPr>
          <w:b/>
          <w:i/>
          <w:lang w:val="en-US"/>
        </w:rPr>
        <w:t> </w:t>
      </w:r>
      <w:r>
        <w:rPr>
          <w:b/>
          <w:i/>
        </w:rPr>
        <w:t>различных валютах пропорционально планируемым расходам в соответствии с утвержденным бюджетом, осуществляет моделирование валютных курсов для</w:t>
      </w:r>
      <w:r>
        <w:rPr>
          <w:b/>
          <w:i/>
          <w:lang w:val="en-US"/>
        </w:rPr>
        <w:t> </w:t>
      </w:r>
      <w:r>
        <w:rPr>
          <w:b/>
          <w:i/>
        </w:rPr>
        <w:t>создания прогнозного баланса, осуществляет регулярный анализ валютных активов Группы.</w:t>
      </w:r>
    </w:p>
    <w:p w:rsidR="00A02ECF" w:rsidRDefault="006104A2">
      <w:pPr>
        <w:spacing w:before="120"/>
        <w:jc w:val="both"/>
        <w:rPr>
          <w:b/>
          <w:bCs/>
          <w:i/>
        </w:rPr>
      </w:pPr>
      <w:r>
        <w:rPr>
          <w:b/>
          <w:i/>
        </w:rPr>
        <w:t>Группа Газпром имеет ряд вложений в иностранные компании, стоимость чистых активов которых подвержена риску изменения курса валют.</w:t>
      </w:r>
    </w:p>
    <w:p w:rsidR="00A02ECF" w:rsidRDefault="006104A2">
      <w:pPr>
        <w:spacing w:before="120"/>
        <w:jc w:val="both"/>
        <w:rPr>
          <w:b/>
          <w:bCs/>
          <w:i/>
        </w:rPr>
      </w:pPr>
      <w:r>
        <w:rPr>
          <w:b/>
          <w:i/>
        </w:rPr>
        <w:t>В Группе Газпром разработано Положение по управлению валютным риском, утвержденное приказом ПАО</w:t>
      </w:r>
      <w:r>
        <w:rPr>
          <w:b/>
          <w:i/>
          <w:lang w:val="en-US"/>
        </w:rPr>
        <w:t> </w:t>
      </w:r>
      <w:r>
        <w:rPr>
          <w:b/>
          <w:i/>
        </w:rPr>
        <w:t>«Газпром» от 10.07.2018 № 390, назначен владелец и совладельцы группы валютных рисков.</w:t>
      </w:r>
    </w:p>
    <w:p w:rsidR="00A02ECF" w:rsidRDefault="006104A2">
      <w:pPr>
        <w:spacing w:before="120"/>
        <w:jc w:val="both"/>
        <w:rPr>
          <w:b/>
          <w:i/>
        </w:rPr>
      </w:pPr>
      <w:bookmarkStart w:id="164" w:name="_Hlk199767831"/>
      <w:r>
        <w:rPr>
          <w:b/>
          <w:i/>
        </w:rPr>
        <w:t>В целом, проведенные в отчетном периоде мероприятия по управлению рисками, связанными с изменениями валютных курсов, позволили удерживать уровень рисков в приемлемом для ПАО «Газпром» диапазоне.</w:t>
      </w:r>
      <w:bookmarkEnd w:id="164"/>
    </w:p>
    <w:p w:rsidR="00A02ECF" w:rsidRDefault="00A02ECF">
      <w:pPr>
        <w:tabs>
          <w:tab w:val="left" w:pos="2506"/>
        </w:tabs>
        <w:spacing w:before="60" w:after="0"/>
        <w:jc w:val="both"/>
        <w:rPr>
          <w:b/>
          <w:bCs/>
          <w:i/>
          <w:iCs/>
          <w:u w:val="single"/>
        </w:rPr>
      </w:pPr>
    </w:p>
    <w:p w:rsidR="00A02ECF" w:rsidRDefault="006104A2">
      <w:pPr>
        <w:tabs>
          <w:tab w:val="left" w:pos="2506"/>
        </w:tabs>
        <w:jc w:val="both"/>
        <w:rPr>
          <w:b/>
          <w:bCs/>
          <w:i/>
          <w:iCs/>
          <w:u w:val="single"/>
        </w:rPr>
      </w:pPr>
      <w:r>
        <w:rPr>
          <w:b/>
          <w:bCs/>
          <w:i/>
          <w:iCs/>
          <w:u w:val="single"/>
        </w:rPr>
        <w:t>Риски, связанные с изменениями процентных ставок</w:t>
      </w:r>
    </w:p>
    <w:p w:rsidR="00A02ECF" w:rsidRDefault="006104A2">
      <w:pPr>
        <w:spacing w:before="120"/>
        <w:jc w:val="both"/>
        <w:rPr>
          <w:b/>
          <w:i/>
        </w:rPr>
      </w:pPr>
      <w:r>
        <w:rPr>
          <w:b/>
          <w:i/>
        </w:rPr>
        <w:t>Группа Газпром подвержена воздействию рисков, связанных с изменениями процентных ставок по привлеченным долгосрочным кредитам и займам.</w:t>
      </w:r>
    </w:p>
    <w:p w:rsidR="00A02ECF" w:rsidRDefault="006104A2">
      <w:pPr>
        <w:spacing w:before="120"/>
        <w:jc w:val="both"/>
        <w:rPr>
          <w:b/>
          <w:i/>
        </w:rPr>
      </w:pPr>
      <w:r>
        <w:rPr>
          <w:b/>
          <w:i/>
        </w:rPr>
        <w:t>В сентябре 2024 года ФРС США приступила к циклу смягчения денежной политики. В течение первой половины 2025 года ФРС выдержала паузу в снижении ставки, после чего по итогам трех заседаний — в сентябре, октябре и декабре — последовательно снизила ставку на 25 б.п. на каждом, завершив год на уровне 3,5–3,75% годовых. Во второй половине 2025 года администрация США настойчиво пыталась добиться резкого снижения диапазона базовой процентной ставки. На заседании ФРС США 18.03.2026 была сохранена ключевая процентная ставка на уровне от 3,5% до 3,75%. Существенных изменений позиции ФРС по прогнозу процентных ставок не произошло, при этом был увеличен размер ожидаемого уровня инфляции. Решение объясняется усилением проинфляционных рисков из-за войны с Ираном.</w:t>
      </w:r>
    </w:p>
    <w:p w:rsidR="00A02ECF" w:rsidRDefault="006104A2">
      <w:pPr>
        <w:spacing w:before="120"/>
        <w:jc w:val="both"/>
        <w:rPr>
          <w:b/>
          <w:i/>
        </w:rPr>
      </w:pPr>
      <w:r>
        <w:rPr>
          <w:b/>
          <w:i/>
        </w:rPr>
        <w:t>Военные действия против Ирана и перекрытие движения судов в Ормузском проливе резко обострили ситуацию в регионе Ближнего и Среднего Востока и привели к резкому росту цен на энергоносители в мире. В США фиксируется стремительный рост цен на бензин. Все эти факторы существенно увеличат риски глобальной инфляции. Необходимость выделения средств на дополнительные военные расходы США, помимо прочих проинфляционных рисков, вероятно, не позволят ФРС в ближайшие месяцы последовательно продолжать курс на снижение ключевых процентных ставок. По прогнозам экспертов, ФРС может снизить ставки до 3,25–3,5% только во втором квартале 2026 года, после окончания срока полномочий нынешнего главы ФРС Джерома Пауэлла.</w:t>
      </w:r>
    </w:p>
    <w:p w:rsidR="00A02ECF" w:rsidRDefault="006104A2">
      <w:pPr>
        <w:spacing w:before="120"/>
        <w:jc w:val="both"/>
        <w:rPr>
          <w:b/>
          <w:i/>
        </w:rPr>
      </w:pPr>
      <w:r>
        <w:rPr>
          <w:b/>
          <w:i/>
        </w:rPr>
        <w:t xml:space="preserve">ЕЦБ начал цикл смягчения денежно-кредитной политики несколько ранее, чем ФРС. В течение первого полугодия 2025 года ЕЦБ последовательно снижал ставки на нескольких заседаниях, после чего сохранял их неизменными. Базовая ставка по кредитам в евро по итогам 2025 года опустилась до 2,15%, по депозитам – до 2,0%, по маржинальной кредитной линии – до 2,4%. </w:t>
      </w:r>
    </w:p>
    <w:p w:rsidR="00A02ECF" w:rsidRDefault="006104A2">
      <w:pPr>
        <w:spacing w:before="120"/>
        <w:jc w:val="both"/>
        <w:rPr>
          <w:b/>
          <w:i/>
        </w:rPr>
      </w:pPr>
      <w:r>
        <w:rPr>
          <w:b/>
          <w:i/>
        </w:rPr>
        <w:t xml:space="preserve">На заседании 18–19 марта 2026 г. ЕЦБ сохранил неизменными основные процентные ставки. </w:t>
      </w:r>
    </w:p>
    <w:p w:rsidR="00A02ECF" w:rsidRDefault="006104A2">
      <w:pPr>
        <w:spacing w:before="120"/>
        <w:jc w:val="both"/>
        <w:rPr>
          <w:b/>
          <w:i/>
        </w:rPr>
      </w:pPr>
      <w:r>
        <w:rPr>
          <w:b/>
          <w:i/>
        </w:rPr>
        <w:t>Также регулятор понизил прогноз роста экономики еврозоны на 2026 год до 0,9% с 1,2%, на 2027 год - до 1,3% с 1,4%. В то же время прогноз инфляции на 2026 год был повышен до 2,6% с 1,9%, на 2027 год - до 2% с 1,8%.  В самом негативном сценарии, при котором нефть резко вырастет в цене до 145 долларов за баррель, ЕЦБ допустил замедление роста ВВП еврозоны до 0,4% в 2026 году и ускорение инфляции до 4,4%.</w:t>
      </w:r>
      <w:r>
        <w:t xml:space="preserve"> </w:t>
      </w:r>
      <w:r>
        <w:rPr>
          <w:b/>
          <w:i/>
        </w:rPr>
        <w:t xml:space="preserve">В марте 2026 г. в странах еврозоны наблюдается резкий рост цен на газ и развиваются признаки энергетического кризиса на фоне проблем с поставками топлива из региона Персидского залива. </w:t>
      </w:r>
    </w:p>
    <w:p w:rsidR="00A02ECF" w:rsidRDefault="006104A2">
      <w:pPr>
        <w:spacing w:before="120"/>
        <w:jc w:val="both"/>
        <w:rPr>
          <w:b/>
          <w:i/>
        </w:rPr>
      </w:pPr>
      <w:r>
        <w:rPr>
          <w:b/>
          <w:i/>
        </w:rPr>
        <w:t>Значительная часть долгового портфеля Группы Газпром сформирована облигационными займами с</w:t>
      </w:r>
      <w:r>
        <w:rPr>
          <w:b/>
          <w:i/>
          <w:lang w:val="en-US"/>
        </w:rPr>
        <w:t> </w:t>
      </w:r>
      <w:r>
        <w:rPr>
          <w:b/>
          <w:i/>
        </w:rPr>
        <w:t xml:space="preserve">фиксированной процентной ставкой, что снижает подверженность компаний Группы риску изменения процентных ставок. </w:t>
      </w:r>
    </w:p>
    <w:p w:rsidR="00A02ECF" w:rsidRDefault="006104A2">
      <w:pPr>
        <w:spacing w:before="120"/>
        <w:jc w:val="both"/>
        <w:rPr>
          <w:b/>
          <w:i/>
        </w:rPr>
      </w:pPr>
      <w:r>
        <w:rPr>
          <w:b/>
          <w:i/>
        </w:rPr>
        <w:t>Разработано Положение по управлению процентным риском Группы Газпром, утвержденное приказом ПАО</w:t>
      </w:r>
      <w:r>
        <w:rPr>
          <w:b/>
          <w:i/>
          <w:lang w:val="en-US"/>
        </w:rPr>
        <w:t> </w:t>
      </w:r>
      <w:r>
        <w:rPr>
          <w:b/>
          <w:i/>
        </w:rPr>
        <w:t>«Газпром» от 10.07.2018 № 390. Назначен владелец группы процентных рисков.</w:t>
      </w:r>
    </w:p>
    <w:p w:rsidR="00A02ECF" w:rsidRDefault="006104A2">
      <w:pPr>
        <w:spacing w:before="120"/>
        <w:jc w:val="both"/>
        <w:rPr>
          <w:b/>
          <w:i/>
        </w:rPr>
      </w:pPr>
      <w:r>
        <w:rPr>
          <w:b/>
          <w:i/>
        </w:rPr>
        <w:t>В целях управления процентным риском проводится регулярная оценка уровня процентных ставок по</w:t>
      </w:r>
      <w:r>
        <w:rPr>
          <w:b/>
          <w:i/>
          <w:lang w:val="en-US"/>
        </w:rPr>
        <w:t> </w:t>
      </w:r>
      <w:r>
        <w:rPr>
          <w:b/>
          <w:i/>
        </w:rPr>
        <w:t xml:space="preserve">кредитным соглашениям с плавающей процентной ставкой. Мероприятия по управлению процентным риском предусматривают мониторинг текущих процентных ставок и выработку возможных рекомендаций по досрочному погашению обязательств при отрицательном влиянии </w:t>
      </w:r>
      <w:r>
        <w:rPr>
          <w:b/>
          <w:i/>
        </w:rPr>
        <w:lastRenderedPageBreak/>
        <w:t xml:space="preserve">изменения процентных ставок. </w:t>
      </w:r>
    </w:p>
    <w:p w:rsidR="00A02ECF" w:rsidRDefault="006104A2">
      <w:pPr>
        <w:spacing w:before="120"/>
        <w:jc w:val="both"/>
        <w:rPr>
          <w:b/>
          <w:i/>
        </w:rPr>
      </w:pPr>
      <w:r>
        <w:rPr>
          <w:b/>
          <w:i/>
        </w:rPr>
        <w:t>Группа проводит (и планирует проводить) сбалансированную политику в области привлечения заемных средств с фиксированными и плавающими ставками. Проведенные в отчетном периоде мероприятия по</w:t>
      </w:r>
      <w:r>
        <w:rPr>
          <w:b/>
          <w:i/>
          <w:lang w:val="en-US"/>
        </w:rPr>
        <w:t> </w:t>
      </w:r>
      <w:r>
        <w:rPr>
          <w:b/>
          <w:i/>
        </w:rPr>
        <w:t>управлению рисками позволили удерживать уровень рисков в приемлемом для ПАО «Газпром» диапазоне.</w:t>
      </w:r>
    </w:p>
    <w:p w:rsidR="00A02ECF" w:rsidRDefault="00A02ECF">
      <w:pPr>
        <w:tabs>
          <w:tab w:val="left" w:pos="2506"/>
        </w:tabs>
        <w:spacing w:before="60" w:after="0"/>
        <w:jc w:val="both"/>
        <w:rPr>
          <w:b/>
          <w:bCs/>
          <w:i/>
          <w:iCs/>
          <w:u w:val="single"/>
        </w:rPr>
      </w:pPr>
    </w:p>
    <w:p w:rsidR="00A02ECF" w:rsidRDefault="00A02ECF">
      <w:pPr>
        <w:tabs>
          <w:tab w:val="left" w:pos="2506"/>
        </w:tabs>
        <w:spacing w:before="60" w:after="0"/>
        <w:jc w:val="both"/>
        <w:rPr>
          <w:b/>
          <w:bCs/>
          <w:i/>
          <w:iCs/>
          <w:u w:val="single"/>
        </w:rPr>
      </w:pPr>
    </w:p>
    <w:p w:rsidR="00A02ECF" w:rsidRDefault="006104A2">
      <w:pPr>
        <w:tabs>
          <w:tab w:val="left" w:pos="2506"/>
        </w:tabs>
        <w:spacing w:before="120"/>
        <w:jc w:val="both"/>
        <w:rPr>
          <w:b/>
          <w:i/>
        </w:rPr>
      </w:pPr>
      <w:r>
        <w:rPr>
          <w:b/>
          <w:bCs/>
          <w:i/>
          <w:iCs/>
          <w:u w:val="single"/>
        </w:rPr>
        <w:t>Риски, связанные с влиянием инфляции</w:t>
      </w:r>
    </w:p>
    <w:p w:rsidR="00A02ECF" w:rsidRDefault="006104A2">
      <w:pPr>
        <w:spacing w:before="120"/>
        <w:jc w:val="both"/>
        <w:rPr>
          <w:b/>
          <w:i/>
        </w:rPr>
      </w:pPr>
      <w:r>
        <w:rPr>
          <w:b/>
          <w:i/>
        </w:rPr>
        <w:t>Инфляционный риск учитывается при составлении финансовых планов Группы Газпром. Существующие и прогнозируемые уровни инфляции далеки от критических значений для Группы и</w:t>
      </w:r>
      <w:r>
        <w:rPr>
          <w:b/>
          <w:i/>
          <w:lang w:val="en-US"/>
        </w:rPr>
        <w:t> </w:t>
      </w:r>
      <w:r>
        <w:rPr>
          <w:b/>
          <w:i/>
        </w:rPr>
        <w:t>отрасли в целом, исходя из этого, влияние инфляционных факторов на финансовую устойчивость Группы незначительно. Текущий уровень инфляции не может оказать влияния на осуществление выплат по ценным бумагам.</w:t>
      </w:r>
    </w:p>
    <w:p w:rsidR="00A02ECF" w:rsidRDefault="006104A2">
      <w:pPr>
        <w:spacing w:before="120"/>
        <w:jc w:val="both"/>
        <w:rPr>
          <w:b/>
          <w:i/>
        </w:rPr>
      </w:pPr>
      <w:r>
        <w:rPr>
          <w:b/>
          <w:i/>
        </w:rPr>
        <w:t>Группа ведет мониторинг индекса потребительских цен и проводит мероприятия по оптимизации издержек.</w:t>
      </w:r>
    </w:p>
    <w:p w:rsidR="00A02ECF" w:rsidRDefault="006104A2">
      <w:pPr>
        <w:spacing w:before="120"/>
        <w:jc w:val="both"/>
        <w:rPr>
          <w:b/>
          <w:i/>
        </w:rPr>
      </w:pPr>
      <w:bookmarkStart w:id="165" w:name="_Hlk199752008"/>
      <w:r>
        <w:rPr>
          <w:b/>
          <w:i/>
        </w:rPr>
        <w:t>Проведенные в отчетном периоде мероприятия по управлению рисками позволили удерживать уровень рисков в приемлемом для ПАО «Газпром» диапазоне.</w:t>
      </w:r>
      <w:bookmarkEnd w:id="165"/>
    </w:p>
    <w:p w:rsidR="00A02ECF" w:rsidRDefault="00A02ECF">
      <w:pPr>
        <w:tabs>
          <w:tab w:val="left" w:pos="2506"/>
        </w:tabs>
        <w:spacing w:before="120"/>
        <w:jc w:val="both"/>
        <w:rPr>
          <w:b/>
          <w:i/>
          <w:u w:val="single"/>
        </w:rPr>
      </w:pPr>
    </w:p>
    <w:p w:rsidR="00A02ECF" w:rsidRDefault="006104A2">
      <w:pPr>
        <w:tabs>
          <w:tab w:val="left" w:pos="2506"/>
        </w:tabs>
        <w:spacing w:before="120"/>
        <w:jc w:val="both"/>
        <w:rPr>
          <w:b/>
          <w:i/>
          <w:u w:val="single"/>
        </w:rPr>
      </w:pPr>
      <w:r>
        <w:rPr>
          <w:b/>
          <w:i/>
          <w:u w:val="single"/>
        </w:rPr>
        <w:t>Кредитные риски</w:t>
      </w:r>
    </w:p>
    <w:p w:rsidR="00A02ECF" w:rsidRDefault="006104A2">
      <w:pPr>
        <w:spacing w:before="120"/>
        <w:jc w:val="both"/>
        <w:rPr>
          <w:b/>
          <w:i/>
        </w:rPr>
      </w:pPr>
      <w:bookmarkStart w:id="166" w:name="_Hlk217297085"/>
      <w:r>
        <w:rPr>
          <w:b/>
          <w:i/>
        </w:rPr>
        <w:t>Кредитный риск – это риск потенциального финансового убытка, который может возникнуть у Группы при невыполнении контрагентом своих договорных обязательств. Максимальная величина данного риска соответствует стоимости активов, которые могут быть утрачены.</w:t>
      </w:r>
    </w:p>
    <w:p w:rsidR="00A02ECF" w:rsidRDefault="006104A2">
      <w:pPr>
        <w:spacing w:before="120"/>
        <w:jc w:val="both"/>
        <w:rPr>
          <w:b/>
          <w:i/>
        </w:rPr>
      </w:pPr>
      <w:r>
        <w:rPr>
          <w:b/>
          <w:i/>
        </w:rPr>
        <w:t>Кредитный риск возникает по денежным средствам и их эквивалентам, депозитам, долговым финансовым инструментам, производным финансовым инструментам, дебиторской задолженности, обязательствам по предоставлению займов и договорам финансовой гарантии.</w:t>
      </w:r>
    </w:p>
    <w:p w:rsidR="00A02ECF" w:rsidRDefault="006104A2">
      <w:pPr>
        <w:spacing w:before="120"/>
        <w:jc w:val="both"/>
        <w:rPr>
          <w:b/>
          <w:i/>
        </w:rPr>
      </w:pPr>
      <w:r>
        <w:rPr>
          <w:b/>
          <w:i/>
        </w:rPr>
        <w:t>Разработано Положение о системе управления кредитным риском ПАО «Газпром», его дочерних обществ и</w:t>
      </w:r>
      <w:r>
        <w:rPr>
          <w:b/>
          <w:i/>
          <w:lang w:val="en-US"/>
        </w:rPr>
        <w:t> </w:t>
      </w:r>
      <w:r>
        <w:rPr>
          <w:b/>
          <w:i/>
        </w:rPr>
        <w:t>организаций, утвержденное приказом ПАО «Газпром» от 11.12.2019 № 559. Назначены владельцы групп кредитного риска (в том числе в части взаимодействия с банками и финансовыми институтами). Также с</w:t>
      </w:r>
      <w:r>
        <w:rPr>
          <w:b/>
          <w:i/>
          <w:lang w:val="en-US"/>
        </w:rPr>
        <w:t> </w:t>
      </w:r>
      <w:r>
        <w:rPr>
          <w:b/>
          <w:i/>
        </w:rPr>
        <w:t>целью управления кредитным риском в Группе Газпром разработаны Методические рекомендации по расчету и мониторингу внутреннего кредитного рейтинга контрагентов и лимита кредитного риска дочерними обществами и организациями ПАО «Газпром», утвержденные распоряжением ПАО «Газпром» от 12.12.2024 № 699.</w:t>
      </w:r>
    </w:p>
    <w:p w:rsidR="00A02ECF" w:rsidRDefault="006104A2">
      <w:pPr>
        <w:spacing w:before="120"/>
        <w:jc w:val="both"/>
        <w:rPr>
          <w:b/>
          <w:i/>
        </w:rPr>
      </w:pPr>
      <w:r>
        <w:rPr>
          <w:b/>
          <w:i/>
        </w:rPr>
        <w:t>Регулярно осуществляется оценка и мониторинг кредитоспособности контрагентов в рамках предоставленных ПАО «Газпром» поручительств и гарантий. Для оценки кредитоспособности контрагентов используются значения внутреннего кредитного рейтинга. На периодической основе осуществляется мониторинг кредитного риска с использованием внутрикорпоративной отчетности.</w:t>
      </w:r>
    </w:p>
    <w:p w:rsidR="00A02ECF" w:rsidRDefault="006104A2">
      <w:pPr>
        <w:spacing w:before="120"/>
        <w:jc w:val="both"/>
        <w:rPr>
          <w:b/>
          <w:i/>
        </w:rPr>
      </w:pPr>
      <w:r>
        <w:rPr>
          <w:b/>
          <w:i/>
        </w:rPr>
        <w:t>Для Группы основным финансовым инструментом, подверженным кредитному риску, является дебиторская задолженность. Руководство Группы периодически оценивает кредитный риск по дебиторской задолженности, учитывая финансовое положение покупателей, их кредитную историю, прочие факторы, осуществляет управление кредитным риском, в том числе посредством установления лимитов на</w:t>
      </w:r>
      <w:r>
        <w:rPr>
          <w:b/>
          <w:i/>
          <w:lang w:val="en-US"/>
        </w:rPr>
        <w:t> </w:t>
      </w:r>
      <w:r>
        <w:rPr>
          <w:b/>
          <w:i/>
        </w:rPr>
        <w:t xml:space="preserve">кредитный риск по контрагентам. </w:t>
      </w:r>
    </w:p>
    <w:p w:rsidR="00A02ECF" w:rsidRDefault="006104A2">
      <w:pPr>
        <w:spacing w:before="120"/>
        <w:jc w:val="both"/>
        <w:rPr>
          <w:b/>
          <w:i/>
        </w:rPr>
      </w:pPr>
      <w:r>
        <w:rPr>
          <w:b/>
          <w:i/>
        </w:rPr>
        <w:t xml:space="preserve">Руководство Группы также периодически оценивает уровень дебиторской задолженности по срокам возникновения и учитывает результаты при расчете оценочного резерва под ожидаемые кредитные убытки по дебиторской задолженности. При анализе риска несвоевременного получения оплаты учитываются индивидуальные особенности покупателей, санкционные ограничения, оценка внутреннего кредитного рейтинга контрагента, а также риски </w:t>
      </w:r>
      <w:r>
        <w:rPr>
          <w:b/>
          <w:bCs/>
          <w:i/>
          <w:iCs/>
        </w:rPr>
        <w:t>задержки, блокировки или ареста денежных средств по искам третьих лиц</w:t>
      </w:r>
      <w:r>
        <w:rPr>
          <w:b/>
          <w:i/>
        </w:rPr>
        <w:t>. Группа работает с разными контрагентами, при этом значительная часть продаж приходится на ряд крупных покупателей.</w:t>
      </w:r>
    </w:p>
    <w:p w:rsidR="00A02ECF" w:rsidRDefault="006104A2">
      <w:pPr>
        <w:spacing w:before="120"/>
        <w:jc w:val="both"/>
        <w:rPr>
          <w:b/>
          <w:i/>
        </w:rPr>
      </w:pPr>
      <w:r>
        <w:rPr>
          <w:b/>
          <w:i/>
        </w:rPr>
        <w:t>Несмотря на то, что текущая экономическая ситуация может оказать негативное влияние на способность покупателей погашать свой долг, руководство Группы считает, что оценочный резерв под ожидаемые кредитные убытки по дебиторской задолженности является достаточным.</w:t>
      </w:r>
    </w:p>
    <w:p w:rsidR="00A02ECF" w:rsidRDefault="006104A2">
      <w:pPr>
        <w:spacing w:before="120"/>
        <w:jc w:val="both"/>
        <w:rPr>
          <w:b/>
          <w:i/>
        </w:rPr>
      </w:pPr>
      <w:r>
        <w:rPr>
          <w:b/>
          <w:i/>
        </w:rPr>
        <w:t>Работа по контролю и снижению дебиторской задолженности за поставленный газ на территории Российской Федерации осуществляется в соответствии с утвержденными планами, целевые показатели по снижению просроченной дебиторской задолженности достигнуты в полном объеме.</w:t>
      </w:r>
    </w:p>
    <w:p w:rsidR="00A02ECF" w:rsidRDefault="006104A2">
      <w:pPr>
        <w:tabs>
          <w:tab w:val="left" w:pos="2506"/>
        </w:tabs>
        <w:spacing w:before="120"/>
        <w:jc w:val="both"/>
        <w:rPr>
          <w:b/>
          <w:i/>
        </w:rPr>
      </w:pPr>
      <w:bookmarkStart w:id="167" w:name="_Hlk199757352"/>
      <w:r>
        <w:rPr>
          <w:b/>
          <w:i/>
        </w:rPr>
        <w:lastRenderedPageBreak/>
        <w:t>Кредитный риск в части взаимодействия с банками и финансовыми институтами – риск возникновения у</w:t>
      </w:r>
      <w:r>
        <w:rPr>
          <w:b/>
          <w:i/>
          <w:lang w:val="en-US"/>
        </w:rPr>
        <w:t> </w:t>
      </w:r>
      <w:r>
        <w:rPr>
          <w:b/>
          <w:i/>
        </w:rPr>
        <w:t>Группы убытков вследствие неисполнения, несвоевременного или неполного исполнения банком или финансовым институтом финансовых обязательств. Денежные средства и их эквиваленты размещаются только в тех банках, которые, по мнению Группы, имеют минимальный риск дефолта. ПАО «Газпром» является центром управления денежными потоками Группы Газпром. Общество руководствуется локальными нормативными актами, разработанными с целью снижения подверженности кредитному риску ПАО «Газпром». На регулярной основе проводится оценка банков-контрагентов. В соответствии с утвержденной в ПАО «Газпром» методикой проводится анализ банков и финансовых институтов, результатом которого является внутренний кредитный рейтинг, присвоенный каждому контрагенту. На основании полученного рейтинга финансово-экономическим блоком устанавливаются лимиты кредитного риска на банки и финансовые институты. Создан и действует Финансовый комитет по вопросам взаимодействия с банками и финансовыми институтами, разработана система лимитов кредитного риска в части взаимодействия с банками и финансовыми институтами.</w:t>
      </w:r>
      <w:bookmarkEnd w:id="166"/>
      <w:bookmarkEnd w:id="167"/>
    </w:p>
    <w:p w:rsidR="00A02ECF" w:rsidRDefault="00A02ECF">
      <w:pPr>
        <w:tabs>
          <w:tab w:val="left" w:pos="2506"/>
        </w:tabs>
        <w:spacing w:before="120"/>
        <w:jc w:val="both"/>
        <w:rPr>
          <w:b/>
          <w:i/>
          <w:u w:val="single"/>
        </w:rPr>
      </w:pPr>
    </w:p>
    <w:p w:rsidR="00A02ECF" w:rsidRDefault="006104A2">
      <w:pPr>
        <w:tabs>
          <w:tab w:val="left" w:pos="2506"/>
        </w:tabs>
        <w:spacing w:before="120"/>
        <w:jc w:val="both"/>
        <w:rPr>
          <w:b/>
          <w:i/>
          <w:u w:val="single"/>
        </w:rPr>
      </w:pPr>
      <w:r>
        <w:rPr>
          <w:b/>
          <w:i/>
          <w:u w:val="single"/>
        </w:rPr>
        <w:t>Риски ликвидности</w:t>
      </w:r>
    </w:p>
    <w:p w:rsidR="00A02ECF" w:rsidRDefault="006104A2">
      <w:pPr>
        <w:spacing w:before="120"/>
        <w:jc w:val="both"/>
        <w:rPr>
          <w:b/>
          <w:i/>
        </w:rPr>
      </w:pPr>
      <w:bookmarkStart w:id="168" w:name="_Hlk199767979"/>
      <w:r>
        <w:rPr>
          <w:b/>
          <w:i/>
        </w:rPr>
        <w:t>Риск ликвидности – финансовый риск, связанный с неспособностью Группы Газпром своевременно и</w:t>
      </w:r>
      <w:r>
        <w:rPr>
          <w:b/>
          <w:i/>
          <w:lang w:val="en-US"/>
        </w:rPr>
        <w:t> </w:t>
      </w:r>
      <w:r>
        <w:rPr>
          <w:b/>
          <w:i/>
        </w:rPr>
        <w:t>в</w:t>
      </w:r>
      <w:r>
        <w:rPr>
          <w:b/>
          <w:i/>
          <w:lang w:val="en-US"/>
        </w:rPr>
        <w:t> </w:t>
      </w:r>
      <w:r>
        <w:rPr>
          <w:b/>
          <w:i/>
        </w:rPr>
        <w:t>полном объеме исполнить свои финансовые обязательства вследствие несбалансированности финансовых активов и финансовых обязательств и/или возникновения непредвиденной необходимости немедленного и единовременного исполнения Группой своих финансовых обязательств с учетом:</w:t>
      </w:r>
    </w:p>
    <w:p w:rsidR="00A02ECF" w:rsidRDefault="006104A2">
      <w:pPr>
        <w:widowControl/>
        <w:numPr>
          <w:ilvl w:val="0"/>
          <w:numId w:val="30"/>
        </w:numPr>
        <w:spacing w:before="60" w:after="0"/>
        <w:ind w:left="567" w:hanging="357"/>
        <w:jc w:val="both"/>
        <w:rPr>
          <w:b/>
          <w:i/>
        </w:rPr>
      </w:pPr>
      <w:r>
        <w:rPr>
          <w:b/>
          <w:i/>
        </w:rPr>
        <w:t>подверженности денежных потоков факторам товарно-сырьевых, валютных, процентных</w:t>
      </w:r>
      <w:r>
        <w:rPr>
          <w:b/>
          <w:i/>
        </w:rPr>
        <w:br w:type="textWrapping" w:clear="all"/>
        <w:t>и кредитных рисков;</w:t>
      </w:r>
    </w:p>
    <w:p w:rsidR="00A02ECF" w:rsidRDefault="006104A2">
      <w:pPr>
        <w:widowControl/>
        <w:numPr>
          <w:ilvl w:val="0"/>
          <w:numId w:val="30"/>
        </w:numPr>
        <w:spacing w:before="60" w:after="0"/>
        <w:ind w:left="567" w:hanging="357"/>
        <w:jc w:val="both"/>
        <w:rPr>
          <w:b/>
          <w:i/>
        </w:rPr>
      </w:pPr>
      <w:r>
        <w:rPr>
          <w:b/>
          <w:i/>
        </w:rPr>
        <w:t>необходимости поддержания определенного уровня ликвидности, связанной с вероятностью неисполнения контрагентом договорных (контрактных) обязательств (реализацией кредитного риска).</w:t>
      </w:r>
    </w:p>
    <w:p w:rsidR="00A02ECF" w:rsidRDefault="006104A2">
      <w:pPr>
        <w:spacing w:before="120"/>
        <w:jc w:val="both"/>
        <w:rPr>
          <w:b/>
          <w:i/>
        </w:rPr>
      </w:pPr>
      <w:r>
        <w:rPr>
          <w:rFonts w:eastAsia="Calibri"/>
          <w:b/>
          <w:i/>
        </w:rPr>
        <w:t>Разработано Положение по управлению риском ликвидности Группы Газпром, утвержденное приказом ПАО «Газпром» от 10.07.2018 № 390. Назначен владелец группы рисков ликвидности.</w:t>
      </w:r>
    </w:p>
    <w:p w:rsidR="00A02ECF" w:rsidRDefault="006104A2">
      <w:pPr>
        <w:tabs>
          <w:tab w:val="left" w:pos="1276"/>
        </w:tabs>
        <w:spacing w:before="120"/>
        <w:jc w:val="both"/>
        <w:rPr>
          <w:b/>
          <w:bCs/>
          <w:i/>
          <w:iCs/>
        </w:rPr>
      </w:pPr>
      <w:r>
        <w:rPr>
          <w:b/>
          <w:bCs/>
          <w:i/>
          <w:iCs/>
        </w:rPr>
        <w:t>Проведенные в отчетном периоде мероприятия по управлению рисками ликвидности позволили удерживать уровень рисков в приемлемом для ПАО «Газпром» диапазоне.</w:t>
      </w:r>
    </w:p>
    <w:p w:rsidR="00A02ECF" w:rsidRDefault="006104A2">
      <w:pPr>
        <w:spacing w:before="120"/>
        <w:jc w:val="both"/>
        <w:rPr>
          <w:rFonts w:eastAsia="Calibri"/>
          <w:b/>
          <w:i/>
        </w:rPr>
      </w:pPr>
      <w:r>
        <w:rPr>
          <w:rFonts w:eastAsia="Calibri"/>
          <w:b/>
          <w:i/>
        </w:rPr>
        <w:t>Таким образом, риск ликвидности напрямую связан с реализацией других видов финансовых рисков, а</w:t>
      </w:r>
      <w:r>
        <w:rPr>
          <w:rFonts w:eastAsia="Calibri"/>
          <w:b/>
          <w:i/>
          <w:lang w:val="en-US"/>
        </w:rPr>
        <w:t> </w:t>
      </w:r>
      <w:r>
        <w:rPr>
          <w:rFonts w:eastAsia="Calibri"/>
          <w:b/>
          <w:i/>
        </w:rPr>
        <w:t>в комплекс мер, направленных на снижение риска ликвидности, включены мероприятия по</w:t>
      </w:r>
      <w:r>
        <w:rPr>
          <w:rFonts w:eastAsia="Calibri"/>
          <w:b/>
          <w:i/>
          <w:lang w:val="en-US"/>
        </w:rPr>
        <w:t> </w:t>
      </w:r>
      <w:r>
        <w:rPr>
          <w:rFonts w:eastAsia="Calibri"/>
          <w:b/>
          <w:i/>
        </w:rPr>
        <w:t>управлению рыночными, процентными и валютными рисками, а также кредитными рисками.</w:t>
      </w:r>
    </w:p>
    <w:p w:rsidR="00A02ECF" w:rsidRDefault="006104A2">
      <w:pPr>
        <w:spacing w:before="120"/>
        <w:jc w:val="both"/>
        <w:rPr>
          <w:b/>
          <w:i/>
        </w:rPr>
      </w:pPr>
      <w:r>
        <w:rPr>
          <w:b/>
          <w:i/>
        </w:rPr>
        <w:t>Мероприятия по управлению риском ликвидности осуществляются централизованно на уровне ПАО «Газпром» и включают:</w:t>
      </w:r>
    </w:p>
    <w:p w:rsidR="00A02ECF" w:rsidRDefault="006104A2">
      <w:pPr>
        <w:widowControl/>
        <w:numPr>
          <w:ilvl w:val="0"/>
          <w:numId w:val="30"/>
        </w:numPr>
        <w:spacing w:before="60" w:after="0"/>
        <w:ind w:left="567" w:hanging="357"/>
        <w:jc w:val="both"/>
        <w:rPr>
          <w:b/>
          <w:i/>
        </w:rPr>
      </w:pPr>
      <w:r>
        <w:rPr>
          <w:b/>
          <w:i/>
        </w:rPr>
        <w:t>соблюдение соотношения активов и обязательств, номинированных в иностранной валюте;</w:t>
      </w:r>
    </w:p>
    <w:p w:rsidR="00A02ECF" w:rsidRDefault="006104A2">
      <w:pPr>
        <w:widowControl/>
        <w:numPr>
          <w:ilvl w:val="0"/>
          <w:numId w:val="30"/>
        </w:numPr>
        <w:spacing w:before="60" w:after="0"/>
        <w:ind w:left="567" w:hanging="357"/>
        <w:jc w:val="both"/>
        <w:rPr>
          <w:b/>
          <w:i/>
        </w:rPr>
      </w:pPr>
      <w:r>
        <w:rPr>
          <w:b/>
          <w:i/>
        </w:rPr>
        <w:t xml:space="preserve">финансово-экономическим блоком осуществляется поддержание в наличии объема денежных средств в различных валютах на основании прогнозов ликвидности и кассовых разрывов; </w:t>
      </w:r>
    </w:p>
    <w:p w:rsidR="00A02ECF" w:rsidRDefault="006104A2">
      <w:pPr>
        <w:widowControl/>
        <w:numPr>
          <w:ilvl w:val="0"/>
          <w:numId w:val="30"/>
        </w:numPr>
        <w:spacing w:before="60" w:after="0"/>
        <w:ind w:left="567" w:hanging="357"/>
        <w:jc w:val="both"/>
        <w:rPr>
          <w:b/>
          <w:i/>
        </w:rPr>
      </w:pPr>
      <w:r>
        <w:rPr>
          <w:b/>
          <w:i/>
        </w:rPr>
        <w:t>обеспечение доступности финансовых ресурсов посредством поддержания кредитных линий и применения различных инструментов финансового рынка</w:t>
      </w:r>
      <w:r>
        <w:t xml:space="preserve"> </w:t>
      </w:r>
      <w:r>
        <w:rPr>
          <w:b/>
          <w:i/>
        </w:rPr>
        <w:t>для покрытия кассовых разрывов ПАО «Газпром»</w:t>
      </w:r>
      <w:bookmarkEnd w:id="168"/>
      <w:r>
        <w:rPr>
          <w:b/>
          <w:i/>
        </w:rPr>
        <w:t>.</w:t>
      </w:r>
    </w:p>
    <w:p w:rsidR="00A02ECF" w:rsidRDefault="00A02ECF">
      <w:pPr>
        <w:widowControl/>
        <w:spacing w:before="0" w:after="0"/>
        <w:ind w:left="210"/>
        <w:jc w:val="both"/>
        <w:rPr>
          <w:b/>
          <w:i/>
        </w:rPr>
      </w:pPr>
    </w:p>
    <w:p w:rsidR="00A02ECF" w:rsidRDefault="00A02ECF">
      <w:pPr>
        <w:widowControl/>
        <w:spacing w:before="0" w:after="0"/>
        <w:ind w:left="210"/>
        <w:jc w:val="both"/>
        <w:rPr>
          <w:b/>
          <w:i/>
        </w:rPr>
      </w:pPr>
    </w:p>
    <w:p w:rsidR="00A02ECF" w:rsidRDefault="006104A2">
      <w:pPr>
        <w:pStyle w:val="2"/>
        <w:rPr>
          <w:color w:val="000000"/>
        </w:rPr>
      </w:pPr>
      <w:bookmarkStart w:id="169" w:name="_Toc230104311"/>
      <w:r>
        <w:rPr>
          <w:color w:val="000000"/>
        </w:rPr>
        <w:t>1.9.4. Правовые риски</w:t>
      </w:r>
      <w:bookmarkEnd w:id="160"/>
      <w:bookmarkEnd w:id="169"/>
    </w:p>
    <w:p w:rsidR="00A02ECF" w:rsidRDefault="006104A2">
      <w:pPr>
        <w:spacing w:before="120"/>
        <w:jc w:val="both"/>
        <w:rPr>
          <w:b/>
          <w:u w:val="single"/>
        </w:rPr>
      </w:pPr>
      <w:r>
        <w:rPr>
          <w:b/>
          <w:i/>
          <w:u w:val="single"/>
        </w:rPr>
        <w:t>Риски, связанные с изменением валютного регулирования</w:t>
      </w:r>
      <w:r>
        <w:rPr>
          <w:b/>
        </w:rPr>
        <w:t xml:space="preserve"> </w:t>
      </w:r>
    </w:p>
    <w:p w:rsidR="00A02ECF" w:rsidRDefault="006104A2">
      <w:pPr>
        <w:spacing w:before="120" w:after="0"/>
        <w:jc w:val="both"/>
        <w:rPr>
          <w:b/>
          <w:bCs/>
          <w:i/>
          <w:iCs/>
        </w:rPr>
      </w:pPr>
      <w:bookmarkStart w:id="170" w:name="_Hlk143587846"/>
      <w:bookmarkStart w:id="171" w:name="_Hlk135232131"/>
      <w:bookmarkEnd w:id="161"/>
      <w:bookmarkEnd w:id="162"/>
      <w:r>
        <w:rPr>
          <w:b/>
          <w:bCs/>
          <w:i/>
          <w:iCs/>
        </w:rPr>
        <w:t xml:space="preserve">Группа Газпром является активным участником внешнеэкономической деятельности. На фоне продолжающейся неблагоприятной геополитической обстановки в сфере валютного регулирования происходили изменения, руководством страны вводились дополнительные ограничительные меры экономического характера по обеспечению финансовой стабильности Российской Федерации. </w:t>
      </w:r>
    </w:p>
    <w:p w:rsidR="00A02ECF" w:rsidRDefault="006104A2">
      <w:pPr>
        <w:spacing w:before="120" w:after="0"/>
        <w:jc w:val="both"/>
        <w:rPr>
          <w:b/>
          <w:bCs/>
          <w:i/>
          <w:iCs/>
        </w:rPr>
      </w:pPr>
      <w:r>
        <w:rPr>
          <w:b/>
          <w:bCs/>
          <w:i/>
          <w:iCs/>
        </w:rPr>
        <w:t>В результате взаимодействия ПАО «Газпром» с государственными органами Российской Федерации получены разрешения на исполнение соответствующих обязательств. Проведенные ПАО «Газпром» в отчетном периоде мероприятия по управлению рисками, связанными с изменением валютного регулирования, позволили удерживать уровень рисков в приемлемом диапазоне.</w:t>
      </w:r>
    </w:p>
    <w:p w:rsidR="00A02ECF" w:rsidRDefault="006104A2">
      <w:pPr>
        <w:spacing w:before="120" w:after="0"/>
        <w:jc w:val="both"/>
        <w:rPr>
          <w:b/>
          <w:bCs/>
          <w:i/>
          <w:iCs/>
        </w:rPr>
      </w:pPr>
      <w:bookmarkStart w:id="172" w:name="_Hlk206089584"/>
      <w:r>
        <w:rPr>
          <w:b/>
          <w:bCs/>
          <w:i/>
          <w:iCs/>
        </w:rPr>
        <w:t xml:space="preserve">Изменение экономической и внешнеполитической ситуации, введение дополнительных </w:t>
      </w:r>
      <w:r>
        <w:rPr>
          <w:b/>
          <w:bCs/>
          <w:i/>
          <w:iCs/>
        </w:rPr>
        <w:lastRenderedPageBreak/>
        <w:t>ограничительных мер и появление новых законодательных требований могут потенциально оказать неблагоприятное влияние на внешнеэкономическую деятельность Группы Газпром, ограничив проведение части валютных операций.</w:t>
      </w:r>
      <w:bookmarkEnd w:id="172"/>
    </w:p>
    <w:p w:rsidR="00A02ECF" w:rsidRDefault="00A02ECF">
      <w:pPr>
        <w:tabs>
          <w:tab w:val="left" w:pos="2506"/>
        </w:tabs>
        <w:spacing w:before="120"/>
        <w:ind w:left="142"/>
        <w:jc w:val="both"/>
        <w:rPr>
          <w:b/>
          <w:bCs/>
          <w:i/>
          <w:iCs/>
          <w:u w:val="single"/>
        </w:rPr>
      </w:pPr>
    </w:p>
    <w:p w:rsidR="00A02ECF" w:rsidRDefault="006104A2">
      <w:pPr>
        <w:tabs>
          <w:tab w:val="left" w:pos="2506"/>
        </w:tabs>
        <w:spacing w:before="120"/>
        <w:jc w:val="both"/>
        <w:rPr>
          <w:b/>
          <w:i/>
          <w:u w:val="single"/>
        </w:rPr>
      </w:pPr>
      <w:r>
        <w:rPr>
          <w:b/>
          <w:i/>
          <w:u w:val="single"/>
        </w:rPr>
        <w:t>Риски, связанные с изменением налогового законодательства</w:t>
      </w:r>
    </w:p>
    <w:p w:rsidR="00A02ECF" w:rsidRDefault="006104A2">
      <w:pPr>
        <w:spacing w:before="120"/>
        <w:jc w:val="both"/>
        <w:rPr>
          <w:b/>
          <w:bCs/>
          <w:i/>
          <w:iCs/>
        </w:rPr>
      </w:pPr>
      <w:r>
        <w:rPr>
          <w:b/>
          <w:bCs/>
          <w:i/>
          <w:iCs/>
        </w:rPr>
        <w:t>Федеральным законом от 21.11.2022 № 443-ФЗ «О внесении изменений в статью 4 части первой, часть вторую Налогового кодекса Российской Федерации и отдельные законодательные акты Российской Федерации» на период с 2023 по 2025 годы для Группы Газпром установлена повышенная нагрузка по НДПИ на газ на общую сумму 1,8 трлн рублей.</w:t>
      </w:r>
    </w:p>
    <w:p w:rsidR="00A02ECF" w:rsidRDefault="006104A2">
      <w:pPr>
        <w:spacing w:before="120"/>
        <w:jc w:val="both"/>
        <w:rPr>
          <w:b/>
          <w:bCs/>
          <w:i/>
          <w:iCs/>
        </w:rPr>
      </w:pPr>
      <w:r>
        <w:rPr>
          <w:b/>
          <w:bCs/>
          <w:i/>
          <w:iCs/>
        </w:rPr>
        <w:t xml:space="preserve">При этом </w:t>
      </w:r>
      <w:r>
        <w:rPr>
          <w:b/>
          <w:bCs/>
          <w:i/>
          <w:iCs/>
          <w:color w:val="000000"/>
        </w:rPr>
        <w:t xml:space="preserve">Федеральным законом от 29.10.2024 № 362-ФЗ «О внесении изменений в части первую и вторую Налогового кодекса Российской Федерации и отдельные законодательные акты Российской Федерации» для Группы Газпром с 01.01.2025 отменена дополнительная надбавка к НДПИ на газ в размере 600 млрд рублей. </w:t>
      </w:r>
    </w:p>
    <w:p w:rsidR="00A02ECF" w:rsidRDefault="006104A2">
      <w:pPr>
        <w:spacing w:after="120"/>
        <w:jc w:val="both"/>
        <w:rPr>
          <w:b/>
          <w:bCs/>
          <w:i/>
        </w:rPr>
      </w:pPr>
      <w:r>
        <w:rPr>
          <w:b/>
          <w:bCs/>
          <w:i/>
          <w:iCs/>
          <w:color w:val="000000"/>
        </w:rPr>
        <w:t>Федеральным законом от 29.11.2024 № 416-ФЗ «О внесении изменений в часть вторую Налогового кодекса Российской Федерации и отдельные законодательные акты Российской Федерации»</w:t>
      </w:r>
      <w:r>
        <w:rPr>
          <w:b/>
          <w:bCs/>
          <w:i/>
          <w:iCs/>
        </w:rPr>
        <w:t xml:space="preserve"> на период с 2025 по 2029 годы приостановлено применение вычета по НДПИ на газовый конденсат, направленный на производство широкой фракции легких углеводородов.</w:t>
      </w:r>
    </w:p>
    <w:p w:rsidR="00A02ECF" w:rsidRDefault="006104A2">
      <w:pPr>
        <w:pBdr>
          <w:top w:val="none" w:sz="4" w:space="0" w:color="000000"/>
          <w:left w:val="none" w:sz="4" w:space="0" w:color="000000"/>
          <w:bottom w:val="none" w:sz="4" w:space="0" w:color="000000"/>
          <w:right w:val="none" w:sz="4" w:space="0" w:color="000000"/>
        </w:pBdr>
        <w:jc w:val="both"/>
        <w:rPr>
          <w:b/>
          <w:bCs/>
          <w:i/>
          <w:color w:val="000000"/>
        </w:rPr>
      </w:pPr>
      <w:r>
        <w:rPr>
          <w:b/>
          <w:bCs/>
          <w:i/>
          <w:iCs/>
          <w:color w:val="000000"/>
        </w:rPr>
        <w:t>Федеральным законом от 28.11.2025 № 425-ФЗ «О внесении изменений в части первую и вторую Налогового кодекса Российской Федерации,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Налоговый кодекс Российской Федерации внесены изменения, в соответствии с которыми:</w:t>
      </w:r>
    </w:p>
    <w:p w:rsidR="00A02ECF" w:rsidRDefault="006104A2">
      <w:pPr>
        <w:pBdr>
          <w:top w:val="none" w:sz="4" w:space="0" w:color="000000"/>
          <w:left w:val="none" w:sz="4" w:space="0" w:color="000000"/>
          <w:bottom w:val="none" w:sz="4" w:space="0" w:color="000000"/>
          <w:right w:val="none" w:sz="4" w:space="0" w:color="000000"/>
        </w:pBdr>
        <w:ind w:firstLine="142"/>
        <w:jc w:val="both"/>
        <w:rPr>
          <w:b/>
          <w:bCs/>
          <w:i/>
        </w:rPr>
      </w:pPr>
      <w:r>
        <w:rPr>
          <w:b/>
          <w:bCs/>
          <w:i/>
          <w:iCs/>
          <w:highlight w:val="white"/>
        </w:rPr>
        <w:t>- с 01.01.2026 в формуле НДПИ на газ отменен показатель Ккг</w:t>
      </w:r>
      <w:r>
        <w:rPr>
          <w:b/>
          <w:bCs/>
          <w:i/>
          <w:iCs/>
          <w:highlight w:val="white"/>
          <w:vertAlign w:val="subscript"/>
        </w:rPr>
        <w:t>2023</w:t>
      </w:r>
      <w:r>
        <w:rPr>
          <w:b/>
          <w:bCs/>
          <w:i/>
          <w:iCs/>
          <w:highlight w:val="white"/>
        </w:rPr>
        <w:t xml:space="preserve"> с одновременным повышением значения показателя Ккг с 305 руб./1000 куб. м (с 01.07.2025 по 31.12.2025) до 486 руб./1000 куб. м на период с 01.01.2026 по 30.09.2026, до 494 руб./1000 куб. м с 01.10.2026. При этом в отношении газа, добываемого на месторождениях, расположенных в Иркутской области и(или) Республике Саха (Якутия), а также газа, направляемого на производство СПГ, при расчете ставки НДПИ сохранено значение Ккг в размере 305 руб./1000 куб. м;</w:t>
      </w:r>
    </w:p>
    <w:p w:rsidR="00A02ECF" w:rsidRDefault="006104A2">
      <w:pPr>
        <w:pBdr>
          <w:top w:val="none" w:sz="4" w:space="0" w:color="000000"/>
          <w:left w:val="none" w:sz="4" w:space="0" w:color="000000"/>
          <w:bottom w:val="none" w:sz="4" w:space="0" w:color="000000"/>
          <w:right w:val="none" w:sz="4" w:space="0" w:color="000000"/>
        </w:pBdr>
        <w:ind w:firstLine="142"/>
        <w:jc w:val="both"/>
        <w:rPr>
          <w:b/>
          <w:bCs/>
          <w:i/>
        </w:rPr>
      </w:pPr>
      <w:r>
        <w:rPr>
          <w:b/>
          <w:bCs/>
          <w:i/>
          <w:iCs/>
        </w:rPr>
        <w:t>- предусмотрен вычет из НДПИ на газ для Группы Газпром в размере: 2 444 млн руб./мес. на период с 01.11.2026 по 31.07.2027, 3 500 млн руб./мес. на период с 01.08.2027 по 31.07.2028, 5 500 млн руб./мес. на период с 01.08.2028;</w:t>
      </w:r>
    </w:p>
    <w:p w:rsidR="00A02ECF" w:rsidRDefault="006104A2">
      <w:pPr>
        <w:pBdr>
          <w:top w:val="none" w:sz="4" w:space="0" w:color="000000"/>
          <w:left w:val="none" w:sz="4" w:space="0" w:color="000000"/>
          <w:bottom w:val="none" w:sz="4" w:space="0" w:color="000000"/>
          <w:right w:val="none" w:sz="4" w:space="0" w:color="000000"/>
        </w:pBdr>
        <w:ind w:firstLine="142"/>
        <w:jc w:val="both"/>
        <w:rPr>
          <w:b/>
          <w:bCs/>
          <w:i/>
        </w:rPr>
      </w:pPr>
      <w:r>
        <w:rPr>
          <w:b/>
          <w:bCs/>
          <w:i/>
          <w:iCs/>
          <w:color w:val="000000"/>
          <w:szCs w:val="16"/>
        </w:rPr>
        <w:t>- с 01.01.2026 ставка налога на добавленную стоимость увеличена с 20% до 22%.</w:t>
      </w:r>
    </w:p>
    <w:p w:rsidR="00A02ECF" w:rsidRDefault="006104A2">
      <w:pPr>
        <w:spacing w:before="120" w:after="0"/>
        <w:jc w:val="both"/>
        <w:rPr>
          <w:b/>
          <w:bCs/>
          <w:i/>
        </w:rPr>
      </w:pPr>
      <w:r>
        <w:rPr>
          <w:b/>
          <w:bCs/>
          <w:i/>
          <w:iCs/>
          <w:color w:val="000000"/>
        </w:rPr>
        <w:t>Федеральным законом от 12.07.2024 № 176-ФЗ «О внесении изменений в части первую и вторую Налогового кодекса Российской Федерации, отдельные законодательные акты Российской Федерации и признании утратившими силу отдельных положений законодательных актов Российской Федерации» с 20% до 25% увеличена налоговая ставка по налогу на прибыль организаций</w:t>
      </w:r>
      <w:r>
        <w:rPr>
          <w:b/>
          <w:bCs/>
          <w:i/>
        </w:rPr>
        <w:t>.</w:t>
      </w:r>
    </w:p>
    <w:p w:rsidR="00A02ECF" w:rsidRDefault="00A02ECF">
      <w:pPr>
        <w:spacing w:before="120"/>
        <w:ind w:left="142"/>
        <w:rPr>
          <w:b/>
          <w:i/>
          <w:u w:val="single"/>
        </w:rPr>
      </w:pPr>
    </w:p>
    <w:p w:rsidR="00A02ECF" w:rsidRDefault="006104A2">
      <w:pPr>
        <w:spacing w:before="120"/>
        <w:rPr>
          <w:b/>
          <w:i/>
          <w:u w:val="single"/>
        </w:rPr>
      </w:pPr>
      <w:r>
        <w:rPr>
          <w:b/>
          <w:i/>
          <w:u w:val="single"/>
        </w:rPr>
        <w:t>Риски, связанные с изменением законодательства в области таможенного регулирования</w:t>
      </w:r>
    </w:p>
    <w:p w:rsidR="00A02ECF" w:rsidRDefault="006104A2">
      <w:pPr>
        <w:spacing w:before="120" w:after="0"/>
        <w:jc w:val="both"/>
        <w:rPr>
          <w:b/>
          <w:bCs/>
          <w:i/>
          <w:iCs/>
        </w:rPr>
      </w:pPr>
      <w:r>
        <w:rPr>
          <w:b/>
          <w:bCs/>
          <w:i/>
          <w:iCs/>
        </w:rPr>
        <w:t xml:space="preserve">Таможенное законодательство Евразийского экономического союза и Российской Федерации позволяет осуществлять таможенное декларирование экспортируемых углеводородов с учетом интересов газовой отрасли. </w:t>
      </w:r>
    </w:p>
    <w:p w:rsidR="00A02ECF" w:rsidRDefault="006104A2">
      <w:pPr>
        <w:pStyle w:val="SubtleEmphasisListParagraph1BulletIRAOACList011head5113TITLE2221"/>
        <w:shd w:val="clear" w:color="auto" w:fill="FFFFFF"/>
        <w:spacing w:before="120" w:after="0" w:line="240" w:lineRule="auto"/>
        <w:ind w:left="0"/>
        <w:contextualSpacing w:val="0"/>
        <w:jc w:val="both"/>
        <w:rPr>
          <w:rFonts w:ascii="Times New Roman" w:hAnsi="Times New Roman"/>
          <w:b/>
          <w:bCs/>
          <w:i/>
          <w:iCs/>
          <w:sz w:val="20"/>
          <w:szCs w:val="20"/>
          <w:lang w:val="ru-RU"/>
        </w:rPr>
      </w:pPr>
      <w:r>
        <w:rPr>
          <w:rFonts w:ascii="Times New Roman" w:hAnsi="Times New Roman"/>
          <w:b/>
          <w:bCs/>
          <w:i/>
          <w:iCs/>
          <w:sz w:val="20"/>
          <w:szCs w:val="20"/>
          <w:lang w:val="ru-RU"/>
        </w:rPr>
        <w:t>В 2025 году в целях единообразного понимания и применения правовых положений, в том числе касающихся порядка декларирования и уплаты таможенных платежей, Группа Газпром:</w:t>
      </w:r>
    </w:p>
    <w:p w:rsidR="00A02ECF" w:rsidRDefault="006104A2">
      <w:pPr>
        <w:pStyle w:val="SubtleEmphasisListParagraph1BulletIRAOACList011head5113TITLE2221"/>
        <w:numPr>
          <w:ilvl w:val="0"/>
          <w:numId w:val="31"/>
        </w:numPr>
        <w:shd w:val="clear" w:color="auto" w:fill="FFFFFF"/>
        <w:spacing w:before="120" w:after="0" w:line="240" w:lineRule="auto"/>
        <w:ind w:left="567"/>
        <w:contextualSpacing w:val="0"/>
        <w:jc w:val="both"/>
        <w:rPr>
          <w:rFonts w:ascii="Times New Roman" w:hAnsi="Times New Roman"/>
          <w:b/>
          <w:bCs/>
          <w:i/>
          <w:iCs/>
          <w:sz w:val="20"/>
          <w:szCs w:val="20"/>
          <w:lang w:val="ru-RU"/>
        </w:rPr>
      </w:pPr>
      <w:r>
        <w:rPr>
          <w:rFonts w:ascii="Times New Roman" w:hAnsi="Times New Roman"/>
          <w:b/>
          <w:bCs/>
          <w:i/>
          <w:iCs/>
          <w:sz w:val="20"/>
          <w:szCs w:val="20"/>
          <w:lang w:val="ru-RU"/>
        </w:rPr>
        <w:t>осуществляла на регулярной основе взаимодействие и консультации с таможенными органами по</w:t>
      </w:r>
      <w:r>
        <w:rPr>
          <w:rFonts w:ascii="Times New Roman" w:hAnsi="Times New Roman"/>
          <w:b/>
          <w:bCs/>
          <w:i/>
          <w:iCs/>
          <w:sz w:val="20"/>
          <w:szCs w:val="20"/>
        </w:rPr>
        <w:t> </w:t>
      </w:r>
      <w:r>
        <w:rPr>
          <w:rFonts w:ascii="Times New Roman" w:hAnsi="Times New Roman"/>
          <w:b/>
          <w:bCs/>
          <w:i/>
          <w:iCs/>
          <w:sz w:val="20"/>
          <w:szCs w:val="20"/>
          <w:lang w:val="ru-RU"/>
        </w:rPr>
        <w:t>действующим положениям законодательства;</w:t>
      </w:r>
    </w:p>
    <w:p w:rsidR="00A02ECF" w:rsidRDefault="006104A2">
      <w:pPr>
        <w:pStyle w:val="SubtleEmphasisListParagraph1BulletIRAOACList011head5113TITLE2221"/>
        <w:numPr>
          <w:ilvl w:val="0"/>
          <w:numId w:val="31"/>
        </w:numPr>
        <w:shd w:val="clear" w:color="auto" w:fill="FFFFFF"/>
        <w:spacing w:before="120" w:after="0" w:line="240" w:lineRule="auto"/>
        <w:ind w:left="567" w:hanging="357"/>
        <w:contextualSpacing w:val="0"/>
        <w:jc w:val="both"/>
        <w:rPr>
          <w:rFonts w:ascii="Times New Roman" w:hAnsi="Times New Roman"/>
          <w:b/>
          <w:bCs/>
          <w:i/>
          <w:iCs/>
          <w:sz w:val="20"/>
          <w:szCs w:val="20"/>
          <w:lang w:val="ru-RU"/>
        </w:rPr>
      </w:pPr>
      <w:r>
        <w:rPr>
          <w:rFonts w:ascii="Times New Roman" w:hAnsi="Times New Roman"/>
          <w:b/>
          <w:bCs/>
          <w:i/>
          <w:iCs/>
          <w:sz w:val="20"/>
          <w:szCs w:val="20"/>
          <w:lang w:val="ru-RU"/>
        </w:rPr>
        <w:t>проводила экспертную оценку проектов документов и готовила предложения по совершенствованию положений нормативных правовых актов в сфере таможенного регулирования.</w:t>
      </w:r>
    </w:p>
    <w:p w:rsidR="00A02ECF" w:rsidRDefault="006104A2">
      <w:pPr>
        <w:spacing w:before="120" w:after="0"/>
        <w:jc w:val="both"/>
        <w:rPr>
          <w:b/>
          <w:bCs/>
          <w:i/>
          <w:iCs/>
        </w:rPr>
      </w:pPr>
      <w:r>
        <w:rPr>
          <w:b/>
          <w:bCs/>
          <w:i/>
          <w:iCs/>
        </w:rPr>
        <w:t>Проведенные в отчетном периоде мероприятия по управлению рисками, связанными с изменением законодательства в области таможенного регулирования, позволили удерживать уровень рисков в</w:t>
      </w:r>
      <w:r>
        <w:rPr>
          <w:b/>
          <w:bCs/>
          <w:i/>
          <w:iCs/>
          <w:lang w:val="en-US"/>
        </w:rPr>
        <w:t> </w:t>
      </w:r>
      <w:r>
        <w:rPr>
          <w:b/>
          <w:bCs/>
          <w:i/>
          <w:iCs/>
        </w:rPr>
        <w:t>приемлемом для Группы Газпром диапазоне.</w:t>
      </w:r>
    </w:p>
    <w:p w:rsidR="00A02ECF" w:rsidRDefault="00A02ECF">
      <w:pPr>
        <w:spacing w:before="120"/>
        <w:ind w:left="142"/>
        <w:jc w:val="both"/>
        <w:rPr>
          <w:b/>
          <w:bCs/>
          <w:u w:val="single"/>
        </w:rPr>
      </w:pPr>
    </w:p>
    <w:p w:rsidR="00A02ECF" w:rsidRDefault="006104A2">
      <w:pPr>
        <w:tabs>
          <w:tab w:val="left" w:pos="2506"/>
        </w:tabs>
        <w:spacing w:before="120"/>
        <w:jc w:val="both"/>
        <w:rPr>
          <w:b/>
          <w:i/>
          <w:u w:val="single"/>
        </w:rPr>
      </w:pPr>
      <w:r>
        <w:rPr>
          <w:b/>
          <w:i/>
          <w:u w:val="single"/>
        </w:rPr>
        <w:t xml:space="preserve">Риски, связанные с изменением требований по лицензированию основной деятельности Группы Газпром либо лицензированию прав пользования объектами, нахождение которых в обороте </w:t>
      </w:r>
      <w:r>
        <w:rPr>
          <w:b/>
          <w:i/>
          <w:u w:val="single"/>
        </w:rPr>
        <w:lastRenderedPageBreak/>
        <w:t>ограничено (изменения требований к пользованию недрами)</w:t>
      </w:r>
    </w:p>
    <w:p w:rsidR="00A02ECF" w:rsidRDefault="006104A2">
      <w:pPr>
        <w:tabs>
          <w:tab w:val="left" w:pos="2506"/>
        </w:tabs>
        <w:spacing w:before="120"/>
        <w:jc w:val="both"/>
        <w:rPr>
          <w:b/>
          <w:i/>
          <w:u w:val="single"/>
        </w:rPr>
      </w:pPr>
      <w:r>
        <w:rPr>
          <w:b/>
          <w:i/>
          <w:u w:val="single"/>
        </w:rPr>
        <w:t xml:space="preserve">В отчетном периоде приняты: </w:t>
      </w:r>
    </w:p>
    <w:p w:rsidR="00A02ECF" w:rsidRDefault="006104A2">
      <w:pPr>
        <w:spacing w:before="120" w:after="0"/>
        <w:jc w:val="both"/>
        <w:rPr>
          <w:b/>
          <w:i/>
        </w:rPr>
      </w:pPr>
      <w:r>
        <w:rPr>
          <w:b/>
          <w:color w:val="000000"/>
          <w:u w:val="single"/>
        </w:rPr>
        <w:t>1. Федеральный закон от 07.06.2025 № 141-ФЗ «О внесении изменений в статьи 10 и 43 Закона Российской Федерации «О недрах»</w:t>
      </w:r>
    </w:p>
    <w:p w:rsidR="00A02ECF" w:rsidRDefault="006104A2">
      <w:pPr>
        <w:jc w:val="both"/>
        <w:rPr>
          <w:b/>
          <w:i/>
          <w:color w:val="000000"/>
        </w:rPr>
      </w:pPr>
      <w:r>
        <w:rPr>
          <w:b/>
          <w:i/>
          <w:color w:val="000000"/>
        </w:rPr>
        <w:t>Уточняются положения статей 10 «Сроки пользования участками недр» (в части срока предоставления в пользование участка недр для геологического изучения недр) и 43 «Регулярные платежи за пользование недрами» Закона Российской Федерации от 21.02.1992 № 2395-1 «О недрах» (далее - Закон Российской Федерации «О недрах»).</w:t>
      </w:r>
    </w:p>
    <w:p w:rsidR="00A02ECF" w:rsidRDefault="00A02ECF">
      <w:pPr>
        <w:jc w:val="both"/>
        <w:rPr>
          <w:b/>
          <w:i/>
        </w:rPr>
      </w:pPr>
    </w:p>
    <w:p w:rsidR="00A02ECF" w:rsidRDefault="006104A2">
      <w:pPr>
        <w:jc w:val="both"/>
        <w:rPr>
          <w:b/>
          <w:color w:val="000000"/>
          <w:u w:val="single"/>
        </w:rPr>
      </w:pPr>
      <w:r>
        <w:rPr>
          <w:b/>
          <w:color w:val="000000"/>
          <w:u w:val="single"/>
        </w:rPr>
        <w:t>2. Указ Президента Российской Федерации от 07.04.2025 № 217 «О подготовке проектов поручений Президента Российской Федерации об установлении специальных требований к участникам аукциона на право пользования участками недр»</w:t>
      </w:r>
    </w:p>
    <w:p w:rsidR="00A02ECF" w:rsidRDefault="006104A2">
      <w:pPr>
        <w:jc w:val="both"/>
        <w:rPr>
          <w:b/>
          <w:i/>
          <w:color w:val="000000"/>
        </w:rPr>
      </w:pPr>
      <w:r>
        <w:rPr>
          <w:b/>
          <w:i/>
          <w:color w:val="000000"/>
        </w:rPr>
        <w:t>Утверждены: Положение о порядке подготовки проектов поручений Президента Российской Федерации об установлении специальных требований к участникам аукциона на право пользования участками недр (Положение); перечень документов, необходимых для подготовки проектов поручений Президента Российской Федерации об установлении специальных требований к участникам аукциона на право пользования участками недр.</w:t>
      </w:r>
    </w:p>
    <w:p w:rsidR="00A02ECF" w:rsidRDefault="006104A2">
      <w:pPr>
        <w:jc w:val="both"/>
        <w:rPr>
          <w:b/>
          <w:i/>
          <w:color w:val="000000"/>
        </w:rPr>
      </w:pPr>
      <w:r>
        <w:rPr>
          <w:b/>
          <w:i/>
          <w:color w:val="000000"/>
        </w:rPr>
        <w:t>Требования Положения не распространяются на случаи подготовки проектов актов Правительства Российской Федерации, предусматривающих проведение аукциона на право пользования участками недр, установление специальных требований к участникам такого аукциона и направленных на исполнение поручений или указаний Президента Российской Федерации, данных до дня вступления в силу настоящего Указа.</w:t>
      </w:r>
    </w:p>
    <w:p w:rsidR="00A02ECF" w:rsidRDefault="00A02ECF">
      <w:pPr>
        <w:jc w:val="both"/>
        <w:rPr>
          <w:b/>
          <w:i/>
        </w:rPr>
      </w:pPr>
    </w:p>
    <w:p w:rsidR="00A02ECF" w:rsidRDefault="006104A2">
      <w:pPr>
        <w:jc w:val="both"/>
        <w:rPr>
          <w:b/>
          <w:color w:val="000000"/>
          <w:u w:val="single"/>
        </w:rPr>
      </w:pPr>
      <w:r>
        <w:rPr>
          <w:b/>
          <w:color w:val="000000"/>
          <w:u w:val="single"/>
        </w:rPr>
        <w:t>3. Постановление Правительства Российской Федерации от 07.03.2025 № 280 «Об утверждении Правил обращения пользователей недр на участках недр, расположенных на территориях Донецкой Народной Республики, Луганской Народной Республики, Запорожской области и Херсонской области, с заявками о предоставлении права пользования участками недр»</w:t>
      </w:r>
    </w:p>
    <w:p w:rsidR="00A02ECF" w:rsidRDefault="006104A2">
      <w:pPr>
        <w:jc w:val="both"/>
        <w:rPr>
          <w:b/>
          <w:i/>
          <w:color w:val="000000"/>
        </w:rPr>
      </w:pPr>
      <w:r>
        <w:rPr>
          <w:b/>
          <w:i/>
          <w:color w:val="000000"/>
        </w:rPr>
        <w:t>Правила устанавливают порядок обращения пользователей недр на участках недр, расположенных на территориях Донецкой Народной Республики, Луганской Народной Республики, Запорожской области и Херсонской области, с заявками о предоставлении права пользования участками недр, расположенными на территориях Донецкой Народной Республики, Луганской Народной Республики, Запорожской области и Херсонской области, право пользования которыми предоставлено в соответствии с документами, выданными государственными и иными официальными органами Украины, государственными и иными официальными органами Донецкой Народной Республики, Луганской Народной Республики, Запорожской области и Херсонской области до дня вступления в силу федеральных конституционных законов «О принятии в Российскую Федерацию Донецкой Народной Республики и образовании в составе Российской Федерации нового субъекта - Донецкой Народной Республики», «О принятии в Российскую Федерацию Луганской Народной Республики и образовании в составе Российской Федерации нового субъекта - Луганской Народной Республики», «О принятии в Российскую Федерацию Запорожской области и образовании в составе Российской Федерации нового субъекта - Запорожской области» и «О принятии в Российскую Федерацию Херсонской области и образовании в составе Российской Федерации нового субъекта - Херсонской области».</w:t>
      </w:r>
    </w:p>
    <w:p w:rsidR="00A02ECF" w:rsidRDefault="00A02ECF">
      <w:pPr>
        <w:jc w:val="both"/>
        <w:rPr>
          <w:b/>
          <w:i/>
        </w:rPr>
      </w:pPr>
    </w:p>
    <w:p w:rsidR="00A02ECF" w:rsidRDefault="006104A2">
      <w:pPr>
        <w:jc w:val="both"/>
        <w:rPr>
          <w:b/>
          <w:color w:val="000000"/>
          <w:u w:val="single"/>
        </w:rPr>
      </w:pPr>
      <w:r>
        <w:rPr>
          <w:b/>
          <w:color w:val="000000"/>
          <w:u w:val="single"/>
        </w:rPr>
        <w:t>4. Постановление Правительства Российской Федерации от 14.03.2025 № 311 «Об утверждении Правил принятия решений о предоставлении права пользования участками недр, расположенными на территориях Донецкой Народной Республики, Луганской Народной Республики, Запорожской области и Херсонской области, организациям без проведения аукционов»</w:t>
      </w:r>
    </w:p>
    <w:p w:rsidR="00A02ECF" w:rsidRDefault="006104A2">
      <w:pPr>
        <w:jc w:val="both"/>
        <w:rPr>
          <w:b/>
          <w:i/>
          <w:color w:val="000000"/>
        </w:rPr>
      </w:pPr>
      <w:r>
        <w:rPr>
          <w:b/>
          <w:i/>
          <w:color w:val="000000"/>
        </w:rPr>
        <w:t>Правила устанавливают порядок и условия принятия решений о предоставлении права пользования участками недр, расположенными на территориях Донецкой Народной Республики, Луганской Народной Республики, Запорожской области и Херсонской области, организациям без проведения аукционов, а также особенности предоставления такого права.</w:t>
      </w:r>
    </w:p>
    <w:p w:rsidR="00A02ECF" w:rsidRDefault="00A02ECF">
      <w:pPr>
        <w:jc w:val="both"/>
        <w:rPr>
          <w:b/>
          <w:i/>
        </w:rPr>
      </w:pPr>
    </w:p>
    <w:p w:rsidR="00A02ECF" w:rsidRDefault="006104A2">
      <w:pPr>
        <w:jc w:val="both"/>
        <w:rPr>
          <w:b/>
          <w:color w:val="000000"/>
          <w:u w:val="single"/>
        </w:rPr>
      </w:pPr>
      <w:r>
        <w:rPr>
          <w:b/>
          <w:color w:val="000000"/>
          <w:u w:val="single"/>
        </w:rPr>
        <w:t>5. Постановление Правительства Российской Федерации от 18.04.2025 № 514 «Об утверждении Правил утверждения нормативов потерь полезных ископаемых при добыче, технологически связанных с принятой схемой и технологией разработки месторождения»</w:t>
      </w:r>
    </w:p>
    <w:p w:rsidR="00A02ECF" w:rsidRDefault="006104A2">
      <w:pPr>
        <w:jc w:val="both"/>
        <w:rPr>
          <w:b/>
          <w:i/>
          <w:color w:val="000000"/>
        </w:rPr>
      </w:pPr>
      <w:r>
        <w:rPr>
          <w:b/>
          <w:i/>
          <w:color w:val="000000"/>
        </w:rPr>
        <w:t>Правила устанавливают порядок утверждения нормативов потерь полезных ископаемых при добыче, технологически связанных с принятой схемой и технологией разработки месторождения (далее - нормативы потерь).</w:t>
      </w:r>
    </w:p>
    <w:p w:rsidR="00A02ECF" w:rsidRDefault="006104A2">
      <w:pPr>
        <w:jc w:val="both"/>
        <w:rPr>
          <w:b/>
          <w:i/>
          <w:color w:val="000000"/>
        </w:rPr>
      </w:pPr>
      <w:r>
        <w:rPr>
          <w:b/>
          <w:i/>
          <w:color w:val="000000"/>
        </w:rPr>
        <w:lastRenderedPageBreak/>
        <w:t>Нормативы потерь твердых полезных ископаемых (включая общераспространенные полезные ископаемые) и подземных вод (минеральных, промышленных, термальных) при добыче рассчитываются по конкретным местам образования потерь при проектировании горных работ и утверждаются пользователем недр в составе технических проектов разработки месторождений полезных ископаемых, технических проектов строительства и эксплуатации подземных сооружений, технических проектов ликвидации и консервации горных выработок, буровых скважин и иных сооружений, связанных с пользованием недрами, согласованных и утвержденных в соответствии со статьей 23.2 Закона Российской Федерации «О недрах».</w:t>
      </w:r>
    </w:p>
    <w:p w:rsidR="00A02ECF" w:rsidRDefault="00A02ECF">
      <w:pPr>
        <w:jc w:val="both"/>
        <w:rPr>
          <w:b/>
          <w:i/>
        </w:rPr>
      </w:pPr>
    </w:p>
    <w:p w:rsidR="00A02ECF" w:rsidRDefault="00A02ECF">
      <w:pPr>
        <w:jc w:val="both"/>
        <w:rPr>
          <w:b/>
          <w:i/>
        </w:rPr>
      </w:pPr>
    </w:p>
    <w:p w:rsidR="00A02ECF" w:rsidRDefault="006104A2">
      <w:pPr>
        <w:jc w:val="both"/>
        <w:rPr>
          <w:b/>
          <w:color w:val="000000"/>
          <w:u w:val="single"/>
        </w:rPr>
      </w:pPr>
      <w:r>
        <w:rPr>
          <w:b/>
          <w:color w:val="000000"/>
          <w:u w:val="single"/>
        </w:rPr>
        <w:t>6. Постановление Правительства Российской Федерации от 08.05.2025 № 604 «Об утверждении Правил охраны подземных водных объектов»</w:t>
      </w:r>
    </w:p>
    <w:p w:rsidR="00A02ECF" w:rsidRDefault="006104A2">
      <w:pPr>
        <w:jc w:val="both"/>
        <w:rPr>
          <w:b/>
          <w:i/>
          <w:color w:val="000000"/>
        </w:rPr>
      </w:pPr>
      <w:r>
        <w:rPr>
          <w:b/>
          <w:i/>
          <w:color w:val="000000"/>
        </w:rPr>
        <w:t>Правила устанавливают порядок осуществления мероприятий по охране подземных водных объектов, в частности, при геологическом изучении недр, разработке месторождений полезных ископаемых.</w:t>
      </w:r>
    </w:p>
    <w:p w:rsidR="00A02ECF" w:rsidRDefault="00A02ECF">
      <w:pPr>
        <w:jc w:val="both"/>
        <w:rPr>
          <w:b/>
          <w:i/>
        </w:rPr>
      </w:pPr>
    </w:p>
    <w:p w:rsidR="00A02ECF" w:rsidRDefault="006104A2">
      <w:pPr>
        <w:jc w:val="both"/>
        <w:rPr>
          <w:b/>
          <w:color w:val="000000"/>
          <w:u w:val="single"/>
        </w:rPr>
      </w:pPr>
      <w:r>
        <w:rPr>
          <w:b/>
          <w:color w:val="000000"/>
          <w:u w:val="single"/>
        </w:rPr>
        <w:t>7. Постановление Правительства Российской Федерации от 17.05.2025 № 679 «О приостановлении действия пункта 21 Положения о федеральной государственной информационной системе «Единый фонд геологической информации о недрах»</w:t>
      </w:r>
    </w:p>
    <w:p w:rsidR="00A02ECF" w:rsidRDefault="006104A2">
      <w:pPr>
        <w:jc w:val="both"/>
        <w:rPr>
          <w:b/>
          <w:i/>
          <w:color w:val="000000"/>
        </w:rPr>
      </w:pPr>
      <w:r>
        <w:rPr>
          <w:b/>
          <w:i/>
          <w:color w:val="000000"/>
        </w:rPr>
        <w:t>Приостановлено до 31 декабря 2027 г. включительно действие пункта 21 Положения о федеральной государственной информационной системе «Единый фонд геологической информации о недрах», в соответствии с которым доступ пользователей к сведениям реестра является свободным и не требует идентификации и авторизации пользователя в информационной системе.</w:t>
      </w:r>
    </w:p>
    <w:p w:rsidR="00A02ECF" w:rsidRDefault="006104A2">
      <w:pPr>
        <w:jc w:val="both"/>
        <w:rPr>
          <w:b/>
          <w:i/>
          <w:color w:val="000000"/>
        </w:rPr>
      </w:pPr>
      <w:r>
        <w:rPr>
          <w:b/>
          <w:i/>
          <w:color w:val="000000"/>
        </w:rPr>
        <w:t>Получение пользователями геологической информации о недрах доступа к информации, содержащейся в федеральной государственной информационной системе «Единый фонд геологической информации о недрах», для последующего ознакомления со сведениями реестра первичной геологической информации о недрах и интерпретированной геологической информации о недрах осуществляется посредством авторизации с помощью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A02ECF" w:rsidRDefault="00A02ECF">
      <w:pPr>
        <w:jc w:val="both"/>
        <w:rPr>
          <w:b/>
          <w:i/>
        </w:rPr>
      </w:pPr>
    </w:p>
    <w:p w:rsidR="00A02ECF" w:rsidRDefault="006104A2">
      <w:pPr>
        <w:jc w:val="both"/>
        <w:rPr>
          <w:b/>
          <w:color w:val="000000"/>
          <w:u w:val="single"/>
        </w:rPr>
      </w:pPr>
      <w:r>
        <w:rPr>
          <w:b/>
          <w:color w:val="000000"/>
          <w:u w:val="single"/>
        </w:rPr>
        <w:t>8. Постановление Правительства Российской Федерации от 22.05.2025 № 710 «Об утверждении Правил исчисления платы за негативное воздействие на окружающую среду при выбросах в атмосферный воздух загрязняющих веществ, образующихся при сжигании на факельных установках и (или) рассеивании попутного нефтяного газа»</w:t>
      </w:r>
    </w:p>
    <w:p w:rsidR="00A02ECF" w:rsidRDefault="006104A2">
      <w:pPr>
        <w:jc w:val="both"/>
        <w:rPr>
          <w:b/>
          <w:i/>
          <w:color w:val="000000"/>
        </w:rPr>
      </w:pPr>
      <w:r>
        <w:rPr>
          <w:b/>
          <w:i/>
          <w:color w:val="000000"/>
        </w:rPr>
        <w:t>Правила устанавливают порядок исчисления платы за негативное воздействие на окружающую среду при выбросах в атмосферный воздух загрязняющих веществ, образующихся при сжигании на факельных установках и (или) рассеивании попутного нефтяного газа, добытого на участках недр, предоставленных субъектам предпринимательской деятельности в порядке, установленном законодательством Российской Федерации о недрах, в соответствии с лицензиями на пользование недрами.</w:t>
      </w:r>
    </w:p>
    <w:p w:rsidR="00A02ECF" w:rsidRDefault="00A02ECF">
      <w:pPr>
        <w:jc w:val="both"/>
        <w:rPr>
          <w:b/>
          <w:i/>
        </w:rPr>
      </w:pPr>
    </w:p>
    <w:p w:rsidR="00A02ECF" w:rsidRDefault="006104A2">
      <w:pPr>
        <w:jc w:val="both"/>
        <w:rPr>
          <w:b/>
          <w:color w:val="000000"/>
          <w:u w:val="single"/>
        </w:rPr>
      </w:pPr>
      <w:r>
        <w:rPr>
          <w:b/>
          <w:color w:val="000000"/>
          <w:u w:val="single"/>
        </w:rPr>
        <w:t>9. Постановление Правительства Российской Федерации от 29.05.2025 № 781 «Об утверждении Правил проведения рекультивации и консервации земель»</w:t>
      </w:r>
    </w:p>
    <w:p w:rsidR="00A02ECF" w:rsidRDefault="006104A2">
      <w:pPr>
        <w:jc w:val="both"/>
        <w:rPr>
          <w:b/>
          <w:i/>
          <w:color w:val="000000"/>
        </w:rPr>
      </w:pPr>
      <w:r>
        <w:rPr>
          <w:b/>
          <w:i/>
          <w:color w:val="000000"/>
        </w:rPr>
        <w:t>Правила устанавливают порядок проведения рекультивации и консервации земель, а также особенности рекультивации земель, указанных в части 2 статьи 60.12 Лесного кодекса Российской Федерации, и в равной мере распространяются на земли и земельные участки.</w:t>
      </w:r>
    </w:p>
    <w:p w:rsidR="00A02ECF" w:rsidRDefault="00A02ECF">
      <w:pPr>
        <w:jc w:val="both"/>
        <w:rPr>
          <w:b/>
          <w:i/>
        </w:rPr>
      </w:pPr>
    </w:p>
    <w:p w:rsidR="00A02ECF" w:rsidRDefault="006104A2">
      <w:pPr>
        <w:jc w:val="both"/>
        <w:rPr>
          <w:b/>
          <w:color w:val="000000"/>
          <w:u w:val="single"/>
        </w:rPr>
      </w:pPr>
      <w:r>
        <w:rPr>
          <w:b/>
          <w:color w:val="000000"/>
          <w:u w:val="single"/>
        </w:rPr>
        <w:t>10. Постановление Правительства Российской Федерации от 30.05.2025 № 791 «О внесении изменений в постановление Правительства Российской Федерации от 7 июня 2022 г. № 1040»</w:t>
      </w:r>
    </w:p>
    <w:p w:rsidR="00A02ECF" w:rsidRDefault="006104A2">
      <w:pPr>
        <w:jc w:val="both"/>
        <w:rPr>
          <w:b/>
          <w:i/>
          <w:color w:val="000000"/>
        </w:rPr>
      </w:pPr>
      <w:r>
        <w:rPr>
          <w:b/>
          <w:i/>
          <w:color w:val="000000"/>
        </w:rPr>
        <w:t xml:space="preserve">Определен порядок использования федеральной государственной географической информационной системы «Единая цифровая платформа «Национальная система пространственных данных» в целях предоставления государственных и муниципальных услуг. </w:t>
      </w:r>
    </w:p>
    <w:p w:rsidR="00A02ECF" w:rsidRDefault="006104A2">
      <w:pPr>
        <w:jc w:val="both"/>
        <w:rPr>
          <w:b/>
          <w:i/>
          <w:color w:val="000000"/>
        </w:rPr>
      </w:pPr>
      <w:r>
        <w:rPr>
          <w:b/>
          <w:i/>
          <w:color w:val="000000"/>
        </w:rPr>
        <w:t>К услугам, в целях предоставления которых используется система, отнесены, в частности, предоставление лицензии на пользование недрами, оформление документов, удостоверяющих уточненные границы горного отвода и т.д.</w:t>
      </w:r>
    </w:p>
    <w:p w:rsidR="00A02ECF" w:rsidRDefault="00A02ECF">
      <w:pPr>
        <w:jc w:val="both"/>
        <w:rPr>
          <w:b/>
          <w:i/>
        </w:rPr>
      </w:pPr>
    </w:p>
    <w:p w:rsidR="00A02ECF" w:rsidRDefault="006104A2">
      <w:pPr>
        <w:jc w:val="both"/>
        <w:rPr>
          <w:b/>
          <w:color w:val="000000"/>
          <w:u w:val="single"/>
        </w:rPr>
      </w:pPr>
      <w:r>
        <w:rPr>
          <w:b/>
          <w:color w:val="000000"/>
          <w:u w:val="single"/>
        </w:rPr>
        <w:t>11. Постановление Правительства Российской Федерации от 30.06.2025 № 983 «О внесении изменений в постановление Правительства Российской Федерации от 22 мая 2007 г. № 310»</w:t>
      </w:r>
    </w:p>
    <w:p w:rsidR="00A02ECF" w:rsidRDefault="006104A2">
      <w:pPr>
        <w:jc w:val="both"/>
        <w:rPr>
          <w:b/>
          <w:i/>
          <w:color w:val="000000"/>
        </w:rPr>
      </w:pPr>
      <w:r>
        <w:rPr>
          <w:b/>
          <w:i/>
          <w:color w:val="000000"/>
        </w:rPr>
        <w:lastRenderedPageBreak/>
        <w:t>Корректируются ставки за единицу объема лесных ресурсов и ставки платы за единицу площади лесного участка, находящегося в федеральной собственности, утвержденные постановлением Правительства Российской Федерации от 22 мая 2007 г. № 310 «О ставках платы за единицу объема лесных ресурсов и ставках платы за единицу площади лесного участка, находящегося в федеральной собственности» (в том числе при использовании лесов в целях осуществления геологического изучения недр, разведки и добычи полезных ископаемых).</w:t>
      </w:r>
    </w:p>
    <w:p w:rsidR="00A02ECF" w:rsidRDefault="00A02ECF">
      <w:pPr>
        <w:jc w:val="both"/>
        <w:rPr>
          <w:b/>
          <w:i/>
        </w:rPr>
      </w:pPr>
    </w:p>
    <w:p w:rsidR="00A02ECF" w:rsidRDefault="006104A2">
      <w:pPr>
        <w:jc w:val="both"/>
        <w:rPr>
          <w:b/>
          <w:color w:val="000000"/>
          <w:u w:val="single"/>
        </w:rPr>
      </w:pPr>
      <w:r>
        <w:rPr>
          <w:b/>
          <w:color w:val="000000"/>
          <w:u w:val="single"/>
        </w:rPr>
        <w:t>12. Приказ Роснедр от 13.01.2025 № 1 «О признании утратившими силу приказа Федерального агентства по недропользованию от 22 апреля 2020 г. № 161 «Об утверждении Административного регламента предоставления Федеральным агентством по недропользованию государственной услуги по выдаче заключений об отсутствии полезных ископаемых в недрах под участком предстоящей застройки и разрешений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 и внесенного в него изменения»</w:t>
      </w:r>
    </w:p>
    <w:p w:rsidR="00A02ECF" w:rsidRDefault="00A02ECF">
      <w:pPr>
        <w:jc w:val="both"/>
        <w:rPr>
          <w:b/>
          <w:color w:val="000000"/>
          <w:u w:val="single"/>
        </w:rPr>
      </w:pPr>
    </w:p>
    <w:p w:rsidR="00A02ECF" w:rsidRDefault="006104A2">
      <w:pPr>
        <w:jc w:val="both"/>
        <w:rPr>
          <w:b/>
          <w:color w:val="000000"/>
          <w:u w:val="single"/>
        </w:rPr>
      </w:pPr>
      <w:r>
        <w:rPr>
          <w:b/>
          <w:color w:val="000000"/>
          <w:u w:val="single"/>
        </w:rPr>
        <w:t>13. Приказ Минприроды России от 17.01.2025 № 34 «О неприменении отдельного положения приказа Минприроды России от 21 декабря 2020 г. № 1092»</w:t>
      </w:r>
    </w:p>
    <w:p w:rsidR="00A02ECF" w:rsidRDefault="006104A2">
      <w:pPr>
        <w:jc w:val="both"/>
        <w:rPr>
          <w:b/>
          <w:i/>
          <w:color w:val="000000"/>
        </w:rPr>
      </w:pPr>
      <w:r>
        <w:rPr>
          <w:b/>
          <w:i/>
          <w:color w:val="000000"/>
        </w:rPr>
        <w:t>Пользователи недр, осуществившие в 2024 г. добычу нефти обезвоженной, обессоленной и стабилизированной суммарным объемом не менее 10 миллионов тонн, до 31 декабря 2025 г. включительно могут не предоставлять копию годовой бухгалтерской (финансовой) отчетности при подаче заявки на получение права пользования недрами в определенных целях.</w:t>
      </w:r>
    </w:p>
    <w:p w:rsidR="00A02ECF" w:rsidRDefault="00A02ECF">
      <w:pPr>
        <w:jc w:val="both"/>
        <w:rPr>
          <w:b/>
          <w:i/>
        </w:rPr>
      </w:pPr>
    </w:p>
    <w:p w:rsidR="00A02ECF" w:rsidRDefault="006104A2">
      <w:pPr>
        <w:jc w:val="both"/>
        <w:rPr>
          <w:b/>
          <w:color w:val="000000"/>
          <w:u w:val="single"/>
        </w:rPr>
      </w:pPr>
      <w:r>
        <w:rPr>
          <w:b/>
          <w:color w:val="000000"/>
          <w:u w:val="single"/>
        </w:rPr>
        <w:t>14. Приказ Минприроды России № 35, Роснедр № 01 от 17.01.2025 «О неприменении отдельных положений приказов Минприроды России и Роснедр по вопросу предоставления права пользования участками недр»</w:t>
      </w:r>
    </w:p>
    <w:p w:rsidR="00A02ECF" w:rsidRDefault="006104A2">
      <w:pPr>
        <w:jc w:val="both"/>
        <w:rPr>
          <w:b/>
          <w:i/>
          <w:color w:val="000000"/>
        </w:rPr>
      </w:pPr>
      <w:r>
        <w:rPr>
          <w:b/>
          <w:i/>
          <w:color w:val="000000"/>
        </w:rPr>
        <w:t>До 31 декабря 2025 г. включительно в отношении заявителей, являющихся пользователями недр, осуществившими в 2024 г. добычу нефти обезвоженной, обессоленной и стабилизированной суммарным объемом не менее 10 миллионов тонн, не применяется в перечисленных случаях требование, касающееся предоставления копии годовой бухгалтерской (финансовой) отчетности.</w:t>
      </w:r>
    </w:p>
    <w:p w:rsidR="00A02ECF" w:rsidRDefault="00A02ECF">
      <w:pPr>
        <w:jc w:val="both"/>
        <w:rPr>
          <w:b/>
          <w:i/>
        </w:rPr>
      </w:pPr>
    </w:p>
    <w:p w:rsidR="00A02ECF" w:rsidRDefault="006104A2">
      <w:pPr>
        <w:jc w:val="both"/>
        <w:rPr>
          <w:b/>
          <w:color w:val="000000"/>
          <w:u w:val="single"/>
        </w:rPr>
      </w:pPr>
      <w:r>
        <w:rPr>
          <w:b/>
          <w:color w:val="000000"/>
          <w:u w:val="single"/>
        </w:rPr>
        <w:t>15. Приказ Минприроды России № 110, Роснедр № 02 от 17.03.2025 «Об утверждении Правил разработки месторождений углеводородного сырья»</w:t>
      </w:r>
    </w:p>
    <w:p w:rsidR="00A02ECF" w:rsidRDefault="006104A2">
      <w:pPr>
        <w:jc w:val="both"/>
        <w:rPr>
          <w:b/>
          <w:i/>
        </w:rPr>
      </w:pPr>
      <w:r>
        <w:rPr>
          <w:b/>
          <w:i/>
        </w:rPr>
        <w:t>Обновлены Правила разработки месторождений углеводородного сырья. Установлено, что ранее согласованные и утвержденные пользователем недр технические проекты разработки месторождений (залежей или участков залежей) углеводородного сырья действуют до окончания срока их действия и приведение их в соответствие с новыми правилами не требуется.</w:t>
      </w:r>
    </w:p>
    <w:p w:rsidR="00A02ECF" w:rsidRDefault="00A02ECF">
      <w:pPr>
        <w:jc w:val="both"/>
        <w:rPr>
          <w:b/>
          <w:i/>
        </w:rPr>
      </w:pPr>
    </w:p>
    <w:p w:rsidR="00A02ECF" w:rsidRDefault="006104A2">
      <w:pPr>
        <w:jc w:val="both"/>
        <w:rPr>
          <w:b/>
          <w:color w:val="000000"/>
          <w:u w:val="single"/>
        </w:rPr>
      </w:pPr>
      <w:r>
        <w:rPr>
          <w:b/>
          <w:color w:val="000000"/>
          <w:u w:val="single"/>
        </w:rPr>
        <w:t>16. Приказ Минприроды России от 17.03.2025 № 107 «О признании утратившими силу приказа Министерства природных ресурсов и экологии Российской Федерации от 14 июня 2016 г. № 356 «Об утверждении Правил разработки месторождений углеводородного сырья» и внесенных в него изменений»</w:t>
      </w:r>
    </w:p>
    <w:p w:rsidR="00A02ECF" w:rsidRDefault="00A02ECF">
      <w:pPr>
        <w:jc w:val="both"/>
        <w:rPr>
          <w:b/>
          <w:i/>
        </w:rPr>
      </w:pPr>
    </w:p>
    <w:p w:rsidR="00A02ECF" w:rsidRDefault="006104A2">
      <w:pPr>
        <w:jc w:val="both"/>
        <w:rPr>
          <w:b/>
          <w:color w:val="000000"/>
          <w:u w:val="single"/>
        </w:rPr>
      </w:pPr>
      <w:r>
        <w:rPr>
          <w:b/>
          <w:color w:val="000000"/>
          <w:u w:val="single"/>
        </w:rPr>
        <w:t>17. Приказ Минприроды России № 209, Роснедр № 03 от 15.04.2025 «Об утверждении Правил разработки месторождений твердых полезных ископаемых»</w:t>
      </w:r>
    </w:p>
    <w:p w:rsidR="00A02ECF" w:rsidRDefault="006104A2">
      <w:pPr>
        <w:jc w:val="both"/>
        <w:rPr>
          <w:b/>
          <w:i/>
          <w:color w:val="000000"/>
        </w:rPr>
      </w:pPr>
      <w:r>
        <w:rPr>
          <w:b/>
          <w:i/>
          <w:color w:val="000000"/>
        </w:rPr>
        <w:t>Правила устанавливают требования к разработке месторождений (части месторождений) твердых полезных ископаемых (далее - ТПИ), расположенных на территории Российской Федерации, на участках недр континентального шельфа, в исключительной экономической зоне, на участках недр, расположенных в Черном море, в пределах которых Российская Федерация осуществляет суверенитет, суверенные права или юрисдикцию в связи с принятием в Российскую Федерацию Республики Крым и образованием в составе Российской Федерации новых субъектов - Республики Крым и города федерального значения Севастополя, на участках недр, расположенных в российской части (российском секторе) дна Каспийского моря, и Мировом океане, и предназначены для использования Роснедрами, его территориальными органами, органами государственной власти субъектов Российской Федерации в сфере регулирования отношений недропользования, пользователями недр, иными органами и организациями.</w:t>
      </w:r>
    </w:p>
    <w:p w:rsidR="00A02ECF" w:rsidRDefault="006104A2">
      <w:pPr>
        <w:jc w:val="both"/>
        <w:rPr>
          <w:b/>
          <w:i/>
          <w:color w:val="000000"/>
        </w:rPr>
      </w:pPr>
      <w:r>
        <w:rPr>
          <w:b/>
          <w:i/>
          <w:color w:val="000000"/>
        </w:rPr>
        <w:t>Установлено, что технические проекты разработки месторождений ТПИ, согласованные и утвержденные пользователем недр ранее, действуют до окончания срока их действия, и их приведение в соответствие с Правилами не требуется.</w:t>
      </w:r>
    </w:p>
    <w:p w:rsidR="00A02ECF" w:rsidRDefault="00A02ECF">
      <w:pPr>
        <w:jc w:val="both"/>
        <w:rPr>
          <w:b/>
          <w:i/>
        </w:rPr>
      </w:pPr>
    </w:p>
    <w:p w:rsidR="00A02ECF" w:rsidRDefault="006104A2">
      <w:pPr>
        <w:jc w:val="both"/>
        <w:rPr>
          <w:b/>
          <w:color w:val="000000"/>
          <w:u w:val="single"/>
        </w:rPr>
      </w:pPr>
      <w:r>
        <w:rPr>
          <w:b/>
          <w:color w:val="000000"/>
          <w:u w:val="single"/>
        </w:rPr>
        <w:t>18. Приказ Минприроды России от 17.04.2025 № 214 «О приостановлении отдельных положений приказов Министерства природных ресурсов и экологии Российской Федерации по вопросам, регулирующим размещение сведений о геологическом изучении недр и предоставлении участков недр в пользование»</w:t>
      </w:r>
    </w:p>
    <w:p w:rsidR="00A02ECF" w:rsidRDefault="006104A2">
      <w:pPr>
        <w:jc w:val="both"/>
        <w:rPr>
          <w:b/>
          <w:i/>
          <w:color w:val="000000"/>
        </w:rPr>
      </w:pPr>
      <w:r>
        <w:rPr>
          <w:b/>
          <w:i/>
          <w:color w:val="000000"/>
        </w:rPr>
        <w:t>Приостановлено по 31 декабря 2027 г. действие некоторых положений приказов Минприроды России о доступе к информации в сфере недропользования.</w:t>
      </w:r>
    </w:p>
    <w:p w:rsidR="00A02ECF" w:rsidRDefault="00A02ECF">
      <w:pPr>
        <w:jc w:val="both"/>
        <w:rPr>
          <w:b/>
          <w:i/>
        </w:rPr>
      </w:pPr>
    </w:p>
    <w:p w:rsidR="00A02ECF" w:rsidRDefault="006104A2">
      <w:pPr>
        <w:jc w:val="both"/>
        <w:rPr>
          <w:b/>
          <w:color w:val="000000"/>
          <w:u w:val="single"/>
        </w:rPr>
      </w:pPr>
      <w:r>
        <w:rPr>
          <w:b/>
          <w:color w:val="000000"/>
          <w:u w:val="single"/>
        </w:rPr>
        <w:t>19. Приказ Минэнерго России № 699, Роснедр № 06 от 24.06.2025 «Об утверждении Административного регламента Министерства энергетики Российской Федерации и Федерального агентства по недропользованию по предоставлению государственной услуги «Подтверждение факта получения (производства) при разработке нового морского месторождения углеводородного сырья газа природного в газообразном состоянии, широкой фракции легких углеводородов»</w:t>
      </w:r>
    </w:p>
    <w:p w:rsidR="00A02ECF" w:rsidRDefault="006104A2">
      <w:pPr>
        <w:jc w:val="both"/>
        <w:rPr>
          <w:b/>
          <w:i/>
          <w:color w:val="000000"/>
        </w:rPr>
      </w:pPr>
      <w:r>
        <w:rPr>
          <w:b/>
          <w:i/>
          <w:color w:val="000000"/>
        </w:rPr>
        <w:t>Утвержденный Административный регламент устанавливает порядок и стандарт предоставления государственной услуги «Подтверждение факта получения (производства) при разработке нового морского месторождения углеводородного сырья газа природного в газообразном состоянии, широкой фракции легких углеводородов».</w:t>
      </w:r>
    </w:p>
    <w:p w:rsidR="00A02ECF" w:rsidRDefault="00A02ECF">
      <w:pPr>
        <w:jc w:val="both"/>
        <w:rPr>
          <w:b/>
          <w:i/>
          <w:color w:val="000000"/>
        </w:rPr>
      </w:pPr>
    </w:p>
    <w:p w:rsidR="00A02ECF" w:rsidRDefault="006104A2">
      <w:pPr>
        <w:jc w:val="both"/>
        <w:rPr>
          <w:b/>
          <w:color w:val="000000"/>
          <w:u w:val="single"/>
        </w:rPr>
      </w:pPr>
      <w:r>
        <w:rPr>
          <w:b/>
          <w:color w:val="000000"/>
          <w:u w:val="single"/>
        </w:rPr>
        <w:t>20. Приказ Роснедр от 11.07.2025 № 390 «Об утверждении критериев отнесения вопросов принятия решений об изменении границ участков недр, за исключением участков недр местного значения, при внесении изменений в лицензии на пользование недрами к компетенции комиссии, создаваемой Федеральным агентством по недропользованию, и комиссий, создаваемых его территориальными органами»</w:t>
      </w:r>
    </w:p>
    <w:p w:rsidR="00A02ECF" w:rsidRDefault="006104A2">
      <w:pPr>
        <w:jc w:val="both"/>
        <w:rPr>
          <w:b/>
          <w:i/>
          <w:color w:val="000000"/>
        </w:rPr>
      </w:pPr>
      <w:r>
        <w:rPr>
          <w:b/>
          <w:i/>
          <w:color w:val="000000"/>
        </w:rPr>
        <w:t>Утверждены прилагаемые критерии отнесения вопросов принятия решений об изменении границ участков недр, за исключением участков недр местного значения, при внесении изменений в лицензии на пользование недрами к компетенции комиссии, создаваемой Федеральным агентством по недропользованию, и комиссий, создаваемых его территориальными органами.</w:t>
      </w:r>
    </w:p>
    <w:p w:rsidR="00A02ECF" w:rsidRDefault="00A02ECF">
      <w:pPr>
        <w:jc w:val="both"/>
        <w:rPr>
          <w:b/>
          <w:i/>
          <w:color w:val="000000"/>
        </w:rPr>
      </w:pPr>
    </w:p>
    <w:p w:rsidR="00A02ECF" w:rsidRDefault="006104A2">
      <w:pPr>
        <w:jc w:val="both"/>
        <w:rPr>
          <w:b/>
          <w:color w:val="000000"/>
          <w:u w:val="single"/>
        </w:rPr>
      </w:pPr>
      <w:r>
        <w:rPr>
          <w:b/>
          <w:color w:val="000000"/>
          <w:u w:val="single"/>
        </w:rPr>
        <w:t>21. Постановление Правительства Российской Федерации от 24.07.2025 № 1100 «Об установлении случая, при котором товары могут прибывать в Российскую Федерацию и убывать из Российской Федерации в местах, не являющихся местами перемещения товаров в соответствии с Таможенным кодексом Евразийского экономического союза»</w:t>
      </w:r>
    </w:p>
    <w:p w:rsidR="00A02ECF" w:rsidRDefault="006104A2">
      <w:pPr>
        <w:jc w:val="both"/>
        <w:rPr>
          <w:b/>
          <w:i/>
          <w:color w:val="000000"/>
        </w:rPr>
      </w:pPr>
      <w:r>
        <w:rPr>
          <w:b/>
          <w:i/>
          <w:color w:val="000000"/>
        </w:rPr>
        <w:t>Устанавливается, что прибытие в Российскую Федерацию товаров, предназначенных, в том числе, для выполнения работ по строительству (созданию, сооружению) искусственных островов, установок и сооружений (далее - объекты), для геологического изучения, разведки и добычи углеводородного сырья в акватории Охотского моря на территории северо-восточного шельфа острова Сахалин в соответствии с лицензиями на пользование недрами, выданными ПАО «Газпром» и его дочерним и зависимым обществам, и убытие указанных товаров из Российской Федерации на объекты и такие участки акватории Охотского моря допускаются на участке № 5 (Набиль) морского порта Корсаков (Сахалинская область).</w:t>
      </w:r>
    </w:p>
    <w:p w:rsidR="00A02ECF" w:rsidRDefault="00A02ECF">
      <w:pPr>
        <w:jc w:val="both"/>
        <w:rPr>
          <w:b/>
          <w:i/>
          <w:color w:val="000000"/>
        </w:rPr>
      </w:pPr>
    </w:p>
    <w:p w:rsidR="00A02ECF" w:rsidRDefault="006104A2">
      <w:pPr>
        <w:jc w:val="both"/>
        <w:rPr>
          <w:b/>
          <w:color w:val="000000"/>
          <w:u w:val="single"/>
        </w:rPr>
      </w:pPr>
      <w:r>
        <w:rPr>
          <w:b/>
          <w:color w:val="000000"/>
          <w:u w:val="single"/>
        </w:rPr>
        <w:t>22. Федеральный закон от 31.07.2025 № 295-ФЗ «О внесении изменений в Земельный кодекс Российской Федерации,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p>
    <w:p w:rsidR="00A02ECF" w:rsidRDefault="006104A2">
      <w:pPr>
        <w:jc w:val="both"/>
        <w:rPr>
          <w:b/>
          <w:i/>
          <w:color w:val="000000"/>
        </w:rPr>
      </w:pPr>
      <w:r>
        <w:rPr>
          <w:b/>
          <w:i/>
          <w:color w:val="000000"/>
        </w:rPr>
        <w:t>Земельный кодекс Российской Федерации, в частности, дополняется статьей об определении категорий земель и видов разрешенного использования земельных участков при образовании земельных участков, включающей положения, в том числе, в отношении земельного участка, предназначенного для осуществления пользования недрами.</w:t>
      </w:r>
    </w:p>
    <w:p w:rsidR="00A02ECF" w:rsidRDefault="00A02ECF">
      <w:pPr>
        <w:jc w:val="both"/>
        <w:rPr>
          <w:b/>
          <w:i/>
          <w:color w:val="000000"/>
        </w:rPr>
      </w:pPr>
    </w:p>
    <w:p w:rsidR="00A02ECF" w:rsidRDefault="006104A2">
      <w:pPr>
        <w:jc w:val="both"/>
        <w:rPr>
          <w:b/>
          <w:color w:val="000000"/>
          <w:u w:val="single"/>
        </w:rPr>
      </w:pPr>
      <w:r>
        <w:rPr>
          <w:b/>
          <w:color w:val="000000"/>
          <w:u w:val="single"/>
        </w:rPr>
        <w:t>23. Федеральный закон от 31.07.2025 № 304-ФЗ «О внесении изменений в отдельные законодательные акты Российской Федерации»</w:t>
      </w:r>
    </w:p>
    <w:p w:rsidR="00A02ECF" w:rsidRDefault="006104A2">
      <w:pPr>
        <w:jc w:val="both"/>
        <w:rPr>
          <w:b/>
          <w:i/>
          <w:color w:val="000000"/>
        </w:rPr>
      </w:pPr>
      <w:r>
        <w:rPr>
          <w:b/>
          <w:i/>
          <w:color w:val="000000"/>
        </w:rPr>
        <w:t>Вносятся корректировки, в частности, в Закон Российской Федерации «О недрах», в том числе в отношении ведения государственного реестра работ по геологическому изучению недр, государственного реестра участков недр, предоставленных в пользование, и лицензий на пользование недрами.</w:t>
      </w:r>
    </w:p>
    <w:p w:rsidR="00A02ECF" w:rsidRDefault="00A02ECF">
      <w:pPr>
        <w:jc w:val="both"/>
        <w:rPr>
          <w:b/>
          <w:i/>
        </w:rPr>
      </w:pPr>
    </w:p>
    <w:p w:rsidR="00A02ECF" w:rsidRDefault="006104A2">
      <w:pPr>
        <w:jc w:val="both"/>
        <w:rPr>
          <w:b/>
          <w:color w:val="000000"/>
          <w:u w:val="single"/>
        </w:rPr>
      </w:pPr>
      <w:r>
        <w:rPr>
          <w:b/>
          <w:color w:val="000000"/>
          <w:u w:val="single"/>
        </w:rPr>
        <w:t>24. Приказ Минприроды России № 431, Роснедр № 07 от 11.08.2025 «Об утверждении Порядка установления размеров ставок регулярных платежей за пользование недрами»</w:t>
      </w:r>
    </w:p>
    <w:p w:rsidR="00A02ECF" w:rsidRDefault="006104A2">
      <w:pPr>
        <w:jc w:val="both"/>
        <w:rPr>
          <w:b/>
          <w:i/>
          <w:color w:val="000000"/>
        </w:rPr>
      </w:pPr>
      <w:r>
        <w:rPr>
          <w:b/>
          <w:i/>
          <w:color w:val="000000"/>
        </w:rPr>
        <w:t xml:space="preserve">Обновлен Порядок установления размеров ставок регулярных платежей за пользование недрами. </w:t>
      </w:r>
      <w:r>
        <w:rPr>
          <w:b/>
          <w:i/>
          <w:color w:val="000000"/>
        </w:rPr>
        <w:lastRenderedPageBreak/>
        <w:t>Определены органы, устанавливающие конкретный размер таких ставок. Формула расчета не изменилась. Уточнены некоторые особенности применения поправочного коэффициента при осуществлении геологических работ в границах отдельных субъектов Российской Федерации.</w:t>
      </w:r>
    </w:p>
    <w:p w:rsidR="00A02ECF" w:rsidRDefault="00A02ECF">
      <w:pPr>
        <w:jc w:val="both"/>
        <w:rPr>
          <w:b/>
          <w:i/>
          <w:color w:val="000000"/>
        </w:rPr>
      </w:pPr>
    </w:p>
    <w:p w:rsidR="00A02ECF" w:rsidRDefault="006104A2">
      <w:pPr>
        <w:jc w:val="both"/>
        <w:rPr>
          <w:b/>
          <w:color w:val="000000"/>
          <w:u w:val="single"/>
        </w:rPr>
      </w:pPr>
      <w:r>
        <w:rPr>
          <w:b/>
          <w:color w:val="000000"/>
          <w:u w:val="single"/>
        </w:rPr>
        <w:t>25. Приказ Минприроды России от 13.08.2025 № 434 «О признании утратившими силу приказа Министерства природных ресурсов и экологии Российской Федерации от 30 марта 2021 г. № 214 «Об утверждении Порядка определения конкретных размеров ставок регулярных платежей за пользование недрами» и внесенного в него изменения»</w:t>
      </w:r>
    </w:p>
    <w:p w:rsidR="00A02ECF" w:rsidRDefault="00A02ECF">
      <w:pPr>
        <w:jc w:val="both"/>
        <w:rPr>
          <w:b/>
          <w:i/>
          <w:color w:val="000000"/>
        </w:rPr>
      </w:pPr>
    </w:p>
    <w:p w:rsidR="00A02ECF" w:rsidRDefault="00A02ECF">
      <w:pPr>
        <w:jc w:val="both"/>
        <w:rPr>
          <w:b/>
          <w:i/>
          <w:color w:val="000000"/>
        </w:rPr>
      </w:pPr>
    </w:p>
    <w:p w:rsidR="00A02ECF" w:rsidRDefault="006104A2">
      <w:pPr>
        <w:jc w:val="both"/>
        <w:rPr>
          <w:b/>
          <w:color w:val="000000"/>
          <w:u w:val="single"/>
        </w:rPr>
      </w:pPr>
      <w:r>
        <w:rPr>
          <w:b/>
          <w:color w:val="000000"/>
          <w:u w:val="single"/>
        </w:rPr>
        <w:t>26. Приказ Минприроды России № 449, Роснедр № 08 от 18.08.2025 «Об утверждении Правил подготовки технических проектов разработки месторождений твердых полезных ископаемых»</w:t>
      </w:r>
    </w:p>
    <w:p w:rsidR="00A02ECF" w:rsidRDefault="006104A2">
      <w:pPr>
        <w:jc w:val="both"/>
        <w:rPr>
          <w:b/>
          <w:i/>
          <w:color w:val="000000"/>
        </w:rPr>
      </w:pPr>
      <w:r>
        <w:rPr>
          <w:b/>
          <w:i/>
          <w:color w:val="000000"/>
        </w:rPr>
        <w:t>В частности, устанавливаются требования к содержанию проектной документации и подготовке графических материалов в составе проектной документации, требования к изменениям проектной документации. Также определяются требования к иной документации, разрабатываемой в рамках рассматриваемых правоотношений, в том числе к проекту опытно-промышленной разработки месторождения ТПИ, техническому проекту разработки месторождения ТПИ и др.</w:t>
      </w:r>
    </w:p>
    <w:p w:rsidR="00A02ECF" w:rsidRDefault="006104A2">
      <w:pPr>
        <w:jc w:val="both"/>
        <w:rPr>
          <w:b/>
          <w:i/>
          <w:color w:val="000000"/>
        </w:rPr>
      </w:pPr>
      <w:r>
        <w:rPr>
          <w:b/>
          <w:i/>
          <w:color w:val="000000"/>
        </w:rPr>
        <w:t>При этом установлено, что технические проекты разработки месторождений твердых полезных ископаемых, согласованные и утвержденные пользователем недр до 1 марта 2026 года, действуют до окончания срока их действия и приведение их в соответствие с обновленными требованиями не является обязательным.</w:t>
      </w:r>
    </w:p>
    <w:p w:rsidR="00A02ECF" w:rsidRDefault="00A02ECF">
      <w:pPr>
        <w:jc w:val="both"/>
        <w:rPr>
          <w:b/>
          <w:i/>
          <w:color w:val="000000"/>
        </w:rPr>
      </w:pPr>
    </w:p>
    <w:p w:rsidR="00A02ECF" w:rsidRDefault="006104A2">
      <w:pPr>
        <w:jc w:val="both"/>
        <w:rPr>
          <w:b/>
          <w:color w:val="000000"/>
          <w:u w:val="single"/>
        </w:rPr>
      </w:pPr>
      <w:r>
        <w:rPr>
          <w:b/>
          <w:color w:val="000000"/>
          <w:u w:val="single"/>
        </w:rPr>
        <w:t>27. Приказ Минприроды России № 453, Роснедр № 09 от 20.08.2025 «О внесении изменений в приказ Министерства природных ресурсов и экологии Российской Федерации и Федерального агентства по недропользованию от 26 октября 2021 г. № 796/19»</w:t>
      </w:r>
    </w:p>
    <w:p w:rsidR="00A02ECF" w:rsidRDefault="006104A2">
      <w:pPr>
        <w:jc w:val="both"/>
        <w:rPr>
          <w:b/>
          <w:i/>
          <w:color w:val="000000"/>
        </w:rPr>
      </w:pPr>
      <w:r>
        <w:rPr>
          <w:b/>
          <w:i/>
          <w:color w:val="000000"/>
        </w:rPr>
        <w:t>Факт открытия месторождения полезных ископаемых теперь устанавливается также в отношении тех видов полезных ископаемых, которые были поставлены на государственный баланс запасов полезных ископаемых по результатам проведенного геологического изучения недр, в качестве попутных полезных ископаемых при условии их соответствия критериям отнесения полезных ископаемых к попутным полезным ископаемым (за исключением попутных вод, углеводородного сырья и общераспространенных полезных ископаемых), установленным Постановлением Правительства Российской Федерации от 12.08.2017 № 963.</w:t>
      </w:r>
    </w:p>
    <w:p w:rsidR="00A02ECF" w:rsidRDefault="006104A2">
      <w:pPr>
        <w:jc w:val="both"/>
        <w:rPr>
          <w:b/>
          <w:i/>
          <w:color w:val="000000"/>
        </w:rPr>
      </w:pPr>
      <w:r>
        <w:rPr>
          <w:b/>
          <w:i/>
          <w:color w:val="000000"/>
        </w:rPr>
        <w:t>Исключено требование о необходимости указания аналога идентификационного номера налогоплательщика - иностранного лица (в соответствии с законодательством соответствующего иностранного государства) для случаев: подачи заявки на установление факта открытия месторождения полезных ископаемых; выдачи свидетельства об установлении факта открытия месторождения полезных ископаемых, внесения в него изменений. Также уточнено, что Порядок действует по 31 августа 2027 года.</w:t>
      </w:r>
    </w:p>
    <w:p w:rsidR="00A02ECF" w:rsidRDefault="00A02ECF">
      <w:pPr>
        <w:jc w:val="both"/>
        <w:rPr>
          <w:b/>
          <w:i/>
          <w:color w:val="000000"/>
        </w:rPr>
      </w:pPr>
    </w:p>
    <w:p w:rsidR="00A02ECF" w:rsidRDefault="006104A2">
      <w:pPr>
        <w:jc w:val="both"/>
        <w:rPr>
          <w:b/>
          <w:color w:val="000000"/>
          <w:u w:val="single"/>
        </w:rPr>
      </w:pPr>
      <w:r>
        <w:rPr>
          <w:b/>
          <w:color w:val="000000"/>
          <w:u w:val="single"/>
        </w:rPr>
        <w:t>28. Постановление Правительства Российской Федерации от 27.08.2025 № 1296 «О внесении изменений в постановление Правительства Российской Федерации от 30 июня 2021 г. № 1095»</w:t>
      </w:r>
    </w:p>
    <w:p w:rsidR="00A02ECF" w:rsidRDefault="006104A2">
      <w:pPr>
        <w:jc w:val="both"/>
        <w:rPr>
          <w:b/>
          <w:i/>
          <w:color w:val="000000"/>
        </w:rPr>
      </w:pPr>
      <w:r>
        <w:rPr>
          <w:b/>
          <w:i/>
          <w:color w:val="000000"/>
        </w:rPr>
        <w:t>Вносится ряд корректировок в Положение о федеральном государственном геологическом контроле (надзоре), утвержденное постановлением Правительства Российской Федерации от 30 июня 2021 г. № 1095.</w:t>
      </w:r>
    </w:p>
    <w:p w:rsidR="00A02ECF" w:rsidRDefault="00A02ECF">
      <w:pPr>
        <w:jc w:val="both"/>
        <w:rPr>
          <w:b/>
          <w:i/>
          <w:color w:val="000000"/>
        </w:rPr>
      </w:pPr>
    </w:p>
    <w:p w:rsidR="00A02ECF" w:rsidRDefault="006104A2">
      <w:pPr>
        <w:jc w:val="both"/>
        <w:rPr>
          <w:b/>
          <w:color w:val="000000"/>
          <w:u w:val="single"/>
        </w:rPr>
      </w:pPr>
      <w:r>
        <w:rPr>
          <w:b/>
          <w:color w:val="000000"/>
          <w:u w:val="single"/>
        </w:rPr>
        <w:t>29. Постановление Правительства Российской Федерации от 29.08.2025 № 1310 «Об утверждении Положения о профессиональных аварийно-спасательных службах, профессиональных аварийно-спасательных формированиях, выполняющих противофонтанные работы, и Правил расчета стоимости обслуживания объектов, на которых ведутся буровые работы при геологическом изучении недр, разведке и добыче углеводородного сырья (нефти, газа и газового конденсата), и объектов, используемых при их добыче»</w:t>
      </w:r>
    </w:p>
    <w:p w:rsidR="00A02ECF" w:rsidRDefault="006104A2">
      <w:pPr>
        <w:jc w:val="both"/>
        <w:rPr>
          <w:b/>
          <w:i/>
          <w:color w:val="000000"/>
        </w:rPr>
      </w:pPr>
      <w:r>
        <w:rPr>
          <w:b/>
          <w:i/>
          <w:color w:val="000000"/>
        </w:rPr>
        <w:t>Нововведениями, в частности, определено, что первичной оперативной единицей, предназначенной для выполнения отдельных задач по ликвидации аварий на обслуживаемых объектах и технических работ, является отделение, которое состоит не менее чем из 4 человек. Устанавливается состав взвода, отряда, формирования.</w:t>
      </w:r>
    </w:p>
    <w:p w:rsidR="00A02ECF" w:rsidRDefault="006104A2">
      <w:pPr>
        <w:jc w:val="both"/>
        <w:rPr>
          <w:b/>
          <w:i/>
          <w:color w:val="000000"/>
        </w:rPr>
      </w:pPr>
      <w:r>
        <w:rPr>
          <w:b/>
          <w:i/>
          <w:color w:val="000000"/>
        </w:rPr>
        <w:t>Установлен перечень зданий (помещений, сооружений), в которых могут размещаться противофонтанные службы (формирования) в местах постоянной дислокации. Урегулированы некоторые аспекты проведения профилактических обследований обслуживаемых объектов, ряд смежных вопросов.</w:t>
      </w:r>
    </w:p>
    <w:p w:rsidR="00A02ECF" w:rsidRDefault="00A02ECF">
      <w:pPr>
        <w:jc w:val="both"/>
        <w:rPr>
          <w:b/>
          <w:i/>
          <w:color w:val="000000"/>
        </w:rPr>
      </w:pPr>
    </w:p>
    <w:p w:rsidR="00A02ECF" w:rsidRDefault="006104A2">
      <w:pPr>
        <w:jc w:val="both"/>
        <w:rPr>
          <w:b/>
          <w:color w:val="000000"/>
          <w:u w:val="single"/>
        </w:rPr>
      </w:pPr>
      <w:r>
        <w:rPr>
          <w:b/>
          <w:color w:val="000000"/>
          <w:u w:val="single"/>
        </w:rPr>
        <w:t>30. Приказ Минприроды России от 11.09.2025 № 481 «Об утверждении Порядка использования донного грунта, указанного в части 2 статьи 52.3 Водного кодекса Российской Федерации»</w:t>
      </w:r>
    </w:p>
    <w:p w:rsidR="00A02ECF" w:rsidRDefault="006104A2">
      <w:pPr>
        <w:jc w:val="both"/>
        <w:rPr>
          <w:b/>
          <w:i/>
          <w:color w:val="000000"/>
        </w:rPr>
      </w:pPr>
      <w:r>
        <w:rPr>
          <w:b/>
          <w:i/>
          <w:color w:val="000000"/>
        </w:rPr>
        <w:t>Обновлен Порядок использования донного грунта, указанного в части 2 статьи 52.3 Водного кодекса Российской Федерации. В частности, конкретизированы сведения, которые указываются в решениях об использовании донного грунта для обеспечения муниципальных нужд либо в случае его использования в интересах иных лиц.</w:t>
      </w:r>
    </w:p>
    <w:p w:rsidR="00A02ECF" w:rsidRDefault="00A02ECF">
      <w:pPr>
        <w:jc w:val="both"/>
        <w:rPr>
          <w:b/>
          <w:i/>
          <w:color w:val="000000"/>
        </w:rPr>
      </w:pPr>
    </w:p>
    <w:p w:rsidR="00A02ECF" w:rsidRDefault="006104A2">
      <w:pPr>
        <w:jc w:val="both"/>
        <w:rPr>
          <w:b/>
          <w:color w:val="000000"/>
          <w:u w:val="single"/>
        </w:rPr>
      </w:pPr>
      <w:r>
        <w:rPr>
          <w:b/>
          <w:color w:val="000000"/>
          <w:u w:val="single"/>
        </w:rPr>
        <w:t>31. Приказ Ростехнадзора от 22.09.2025 № 326 «О внесении изменений в перечень индикаторов риска нарушения обязательных требований, используемых при осуществлении Федеральной службой по экологическому, технологическому и атомному надзору и ее территориальными органами федерального государственного надзора в области промышленной безопасности, утвержденный приказом Федеральной службы по экологическому, технологическому и атомному надзору от 23 ноября 2021 г. № 397»</w:t>
      </w:r>
    </w:p>
    <w:p w:rsidR="00A02ECF" w:rsidRDefault="006104A2">
      <w:pPr>
        <w:jc w:val="both"/>
        <w:rPr>
          <w:b/>
          <w:i/>
          <w:color w:val="000000"/>
        </w:rPr>
      </w:pPr>
      <w:r>
        <w:rPr>
          <w:b/>
          <w:i/>
          <w:color w:val="000000"/>
        </w:rPr>
        <w:t>Одним из индикаторов будет являться непоступление от пользователя недр в территориальный орган Ростехнадзора документов, необходимых для регистрации опасного производственного объекта с типовым наименованием «карьер», «рудник», «рудник с подземным способом разработки», «рудник с открытым способом разработки (карьер)», «шахта угольная», «шахта сланцевая», «разрез угольный», «разрез сланцевый», по истечении 6 месяцев с даты согласования технического проекта разработки месторождения полезных ископаемых (при условии, что в указанный период в отношении пользователя недр (объектов) не проводились контрольные (надзорные) мероприятия и обязательные профилактические визиты).</w:t>
      </w:r>
    </w:p>
    <w:p w:rsidR="00A02ECF" w:rsidRDefault="00A02ECF">
      <w:pPr>
        <w:spacing w:before="0" w:after="0"/>
        <w:jc w:val="both"/>
        <w:rPr>
          <w:b/>
          <w:i/>
          <w:color w:val="000000"/>
        </w:rPr>
      </w:pPr>
    </w:p>
    <w:p w:rsidR="00A02ECF" w:rsidRDefault="006104A2">
      <w:pPr>
        <w:jc w:val="both"/>
        <w:rPr>
          <w:b/>
          <w:color w:val="000000"/>
          <w:u w:val="single"/>
        </w:rPr>
      </w:pPr>
      <w:r>
        <w:rPr>
          <w:b/>
          <w:color w:val="000000"/>
          <w:u w:val="single"/>
        </w:rPr>
        <w:t>32. Приказ Минприроды России № 548, Роснедр № 10 от 14.10.2025 «О внесении изменений в Порядок переоформления лицензий на пользование недрами, утвержденный приказом Министерства природных ресурсов и экологии Российской Федерации и Федерального агентства по недропользованию от 14 октября 2021 г. № 751/10»</w:t>
      </w:r>
    </w:p>
    <w:p w:rsidR="00A02ECF" w:rsidRDefault="006104A2">
      <w:pPr>
        <w:jc w:val="both"/>
        <w:rPr>
          <w:b/>
          <w:i/>
          <w:color w:val="000000"/>
        </w:rPr>
      </w:pPr>
      <w:r>
        <w:rPr>
          <w:b/>
          <w:i/>
          <w:color w:val="000000"/>
        </w:rPr>
        <w:t>Уточняются ссылки на отдельные статьи Закона Российской Федерации «О недрах», а также исключаются некоторые формулировки применительно к иностранным лицам.</w:t>
      </w:r>
    </w:p>
    <w:p w:rsidR="00A02ECF" w:rsidRDefault="00A02ECF">
      <w:pPr>
        <w:spacing w:before="0" w:after="0"/>
        <w:jc w:val="both"/>
        <w:rPr>
          <w:b/>
          <w:i/>
          <w:color w:val="000000"/>
        </w:rPr>
      </w:pPr>
    </w:p>
    <w:p w:rsidR="00A02ECF" w:rsidRDefault="006104A2">
      <w:pPr>
        <w:jc w:val="both"/>
        <w:rPr>
          <w:b/>
          <w:color w:val="000000"/>
          <w:u w:val="single"/>
        </w:rPr>
      </w:pPr>
      <w:r>
        <w:rPr>
          <w:b/>
          <w:color w:val="000000"/>
          <w:u w:val="single"/>
        </w:rPr>
        <w:t>33. Приказ Минприроды России № 605, Роснедр № 11 от 10.11.2025 «О внесении изменений в приложения № 1 и № 2 к приказу Министерства природных ресурсов и экологии Российской Федерации и Федерального агентства по недропользованию от 25 октября 2021 г. № 782/13»</w:t>
      </w:r>
    </w:p>
    <w:p w:rsidR="00A02ECF" w:rsidRDefault="006104A2">
      <w:pPr>
        <w:jc w:val="both"/>
        <w:rPr>
          <w:b/>
          <w:i/>
        </w:rPr>
      </w:pPr>
      <w:r>
        <w:rPr>
          <w:b/>
          <w:i/>
        </w:rPr>
        <w:t>Вносится ряд корректировок в приложения № 1 и № 2 к приказу Минприроды России № 782, Роснедр № 13 от 25.10.2021 «Об установлении формы лицензии на пользование недрами и порядка оформления, государственной регистрации и выдачи лицензий на пользование недрами».</w:t>
      </w:r>
    </w:p>
    <w:p w:rsidR="00A02ECF" w:rsidRDefault="00A02ECF">
      <w:pPr>
        <w:spacing w:before="0" w:after="0"/>
        <w:jc w:val="both"/>
        <w:rPr>
          <w:b/>
          <w:i/>
          <w:color w:val="000000"/>
        </w:rPr>
      </w:pPr>
    </w:p>
    <w:p w:rsidR="00A02ECF" w:rsidRDefault="006104A2">
      <w:pPr>
        <w:jc w:val="both"/>
        <w:rPr>
          <w:b/>
          <w:color w:val="000000"/>
          <w:u w:val="single"/>
        </w:rPr>
      </w:pPr>
      <w:r>
        <w:rPr>
          <w:b/>
          <w:color w:val="000000"/>
          <w:u w:val="single"/>
        </w:rPr>
        <w:t>34. Постановление Правительства Российской Федерации от 13.11.2025 № 1786 «О внесении изменений в постановление Правительства Российской Федерации от 30 ноября 2021 г. № 2127»</w:t>
      </w:r>
    </w:p>
    <w:p w:rsidR="00A02ECF" w:rsidRDefault="006104A2">
      <w:pPr>
        <w:jc w:val="both"/>
        <w:rPr>
          <w:b/>
          <w:i/>
          <w:color w:val="000000"/>
        </w:rPr>
      </w:pPr>
      <w:r>
        <w:rPr>
          <w:b/>
          <w:i/>
          <w:color w:val="000000"/>
        </w:rPr>
        <w:t>Вносится ряд корректировок в Правила подготовки, согласования и утверждения технических проектов разработки месторождений полезных ископаемых, технических проектов строительства и эксплуатации подземных сооружений, технических проектов ликвидации и консервации горных выработок, буровых скважин и иных сооружений, связанных с пользованием недрами, по видам полезных ископаемых и видам пользования недрами, утвержденные постановлением Правительства Российской Федерации от 30 ноября 2021 г. № 2127.</w:t>
      </w:r>
    </w:p>
    <w:p w:rsidR="00A02ECF" w:rsidRDefault="00A02ECF">
      <w:pPr>
        <w:spacing w:before="0" w:after="0"/>
        <w:jc w:val="both"/>
        <w:rPr>
          <w:b/>
          <w:i/>
          <w:color w:val="000000"/>
        </w:rPr>
      </w:pPr>
    </w:p>
    <w:p w:rsidR="00A02ECF" w:rsidRDefault="006104A2">
      <w:pPr>
        <w:jc w:val="both"/>
        <w:rPr>
          <w:b/>
          <w:color w:val="000000"/>
          <w:u w:val="single"/>
        </w:rPr>
      </w:pPr>
      <w:r>
        <w:rPr>
          <w:b/>
          <w:color w:val="000000"/>
          <w:u w:val="single"/>
        </w:rPr>
        <w:t>35. Приказ ФНС России от 13.11.2025 № ЕД-7-3/976@ «О внесении изменений в приложения к приказу Федеральной налоговой службы от 03.09.2024 № ЕД-7-3/696@»</w:t>
      </w:r>
    </w:p>
    <w:p w:rsidR="00A02ECF" w:rsidRDefault="006104A2">
      <w:pPr>
        <w:jc w:val="both"/>
        <w:rPr>
          <w:b/>
          <w:i/>
          <w:color w:val="000000"/>
        </w:rPr>
      </w:pPr>
      <w:r>
        <w:rPr>
          <w:b/>
          <w:i/>
          <w:color w:val="000000"/>
        </w:rPr>
        <w:t>В частности, внесены корректировки в приложения к приказу ФНС от 03.09.2024 № ЕД-7-3/696@ «Об утверждении формы налоговой декларации по налогу на добычу полезных ископаемых, порядка ее заполнения, а также формата представления налоговой декларации по налогу на добычу полезных ископаемых в электронной форме»</w:t>
      </w:r>
    </w:p>
    <w:p w:rsidR="00A02ECF" w:rsidRDefault="00A02ECF">
      <w:pPr>
        <w:spacing w:before="0" w:after="0"/>
        <w:jc w:val="both"/>
        <w:rPr>
          <w:b/>
          <w:i/>
          <w:color w:val="000000"/>
        </w:rPr>
      </w:pPr>
    </w:p>
    <w:p w:rsidR="00A02ECF" w:rsidRDefault="006104A2">
      <w:pPr>
        <w:jc w:val="both"/>
        <w:rPr>
          <w:b/>
          <w:color w:val="000000"/>
          <w:u w:val="single"/>
        </w:rPr>
      </w:pPr>
      <w:r>
        <w:rPr>
          <w:b/>
          <w:color w:val="000000"/>
          <w:u w:val="single"/>
        </w:rPr>
        <w:t xml:space="preserve">36. Приказ Минприроды России от 18.11.2025 № 626 «Об утверждении Порядка регистрации искусственных островов, установок, сооружений, расположенных на континентальном шельфе Российской Федерации, и прав на них, искусственных островов, установок, сооружений (за исключением плавучих (подвижных) буровых установок (платформ), морских плавучих (передвижных) платформ), расположенных во внутренних морских водах Российской Федерации, в территориальном море Российской Федерации и в пределах российского сектора Каспийского моря, </w:t>
      </w:r>
      <w:r>
        <w:rPr>
          <w:b/>
          <w:color w:val="000000"/>
          <w:u w:val="single"/>
        </w:rPr>
        <w:lastRenderedPageBreak/>
        <w:t>и прав на них в реестре искусственных островов, установок, сооружений и прав них, а также внесения в него информации об изменении сведений о ранее зарегистрированных указанных искусственных островах, установках, сооружениях и правах на них, о прекращении записи и об исправлении в нем технических ошибок либо отказа в осуществлении указанных процедур, а также предоставления из указанного реестра сведений»</w:t>
      </w:r>
    </w:p>
    <w:p w:rsidR="00A02ECF" w:rsidRDefault="006104A2">
      <w:pPr>
        <w:jc w:val="both"/>
        <w:rPr>
          <w:b/>
          <w:i/>
          <w:color w:val="000000"/>
        </w:rPr>
      </w:pPr>
      <w:r>
        <w:rPr>
          <w:b/>
          <w:i/>
          <w:color w:val="000000"/>
        </w:rPr>
        <w:t>Заявление на оказание государственных услуг по регистрации искусственных островов, установок, сооружений, прекращение записи в реестре искусственных островов, установок, сооружений и внесение изменений в указанный реестр осуществляется только в электронной форме путем подачи заявления на Едином портале оказания государственных и муниципальных услуг без предоставления документов на бумажном носителе. Сокращены сроки предоставления государственной услуги.</w:t>
      </w:r>
    </w:p>
    <w:p w:rsidR="00A02ECF" w:rsidRDefault="00A02ECF">
      <w:pPr>
        <w:spacing w:before="0" w:after="0"/>
        <w:jc w:val="both"/>
        <w:rPr>
          <w:b/>
          <w:i/>
          <w:color w:val="000000"/>
        </w:rPr>
      </w:pPr>
    </w:p>
    <w:p w:rsidR="00A02ECF" w:rsidRDefault="006104A2">
      <w:pPr>
        <w:jc w:val="both"/>
        <w:rPr>
          <w:b/>
          <w:color w:val="000000"/>
          <w:u w:val="single"/>
        </w:rPr>
      </w:pPr>
      <w:r>
        <w:rPr>
          <w:b/>
          <w:color w:val="000000"/>
          <w:u w:val="single"/>
        </w:rPr>
        <w:t>37. Постановление Правительства Российской Федерации от 27.11.2025 № 1898 «О внесении изменений в некоторые акты Правительства Российской Федерации»</w:t>
      </w:r>
    </w:p>
    <w:p w:rsidR="00A02ECF" w:rsidRDefault="006104A2">
      <w:pPr>
        <w:jc w:val="both"/>
        <w:rPr>
          <w:b/>
          <w:i/>
          <w:color w:val="000000"/>
        </w:rPr>
      </w:pPr>
      <w:r>
        <w:rPr>
          <w:b/>
          <w:i/>
          <w:color w:val="000000"/>
        </w:rPr>
        <w:t>Вносится корректировки, в том числе, в части некоторых полномочий Минприроды России (например, в части порядка ведения государственного реестра работ по геологическому изучению недр, государственного реестра участков недр, предоставленных в пользование, и лицензий на пользование участками недр).</w:t>
      </w:r>
    </w:p>
    <w:p w:rsidR="00A02ECF" w:rsidRDefault="00A02ECF">
      <w:pPr>
        <w:jc w:val="both"/>
        <w:rPr>
          <w:b/>
          <w:i/>
          <w:color w:val="000000"/>
        </w:rPr>
      </w:pPr>
    </w:p>
    <w:p w:rsidR="00A02ECF" w:rsidRDefault="006104A2">
      <w:pPr>
        <w:jc w:val="both"/>
        <w:rPr>
          <w:b/>
          <w:color w:val="000000"/>
          <w:u w:val="single"/>
        </w:rPr>
      </w:pPr>
      <w:r>
        <w:rPr>
          <w:b/>
          <w:color w:val="000000"/>
          <w:u w:val="single"/>
        </w:rPr>
        <w:t>38. Федеральный закон от 28.11.2025 № 425-ФЗ «О внесении изменений в части первую и вторую Налогового кодекса Российской Федерации,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w:t>
      </w:r>
    </w:p>
    <w:p w:rsidR="00A02ECF" w:rsidRDefault="006104A2">
      <w:pPr>
        <w:jc w:val="both"/>
        <w:rPr>
          <w:b/>
          <w:i/>
          <w:color w:val="000000"/>
        </w:rPr>
      </w:pPr>
      <w:r>
        <w:rPr>
          <w:b/>
          <w:i/>
          <w:color w:val="000000"/>
        </w:rPr>
        <w:t>Вносятся корректировки, в том числе, в части налога на добычу полезных ископаемых.</w:t>
      </w:r>
    </w:p>
    <w:p w:rsidR="00A02ECF" w:rsidRDefault="00A02ECF">
      <w:pPr>
        <w:jc w:val="both"/>
        <w:rPr>
          <w:b/>
          <w:i/>
          <w:color w:val="000000"/>
        </w:rPr>
      </w:pPr>
    </w:p>
    <w:p w:rsidR="00A02ECF" w:rsidRDefault="006104A2">
      <w:pPr>
        <w:jc w:val="both"/>
        <w:rPr>
          <w:b/>
          <w:color w:val="000000"/>
          <w:u w:val="single"/>
        </w:rPr>
      </w:pPr>
      <w:r>
        <w:rPr>
          <w:b/>
          <w:color w:val="000000"/>
          <w:u w:val="single"/>
        </w:rPr>
        <w:t>39. Постановление Правительства Российской Федерации от 28.11.2025 № 1943 «Об утверждении Положения о порядке установления и изменения границ сельскохозяйственных угодий в составе земель сельскохозяйственного назначения»</w:t>
      </w:r>
    </w:p>
    <w:p w:rsidR="00A02ECF" w:rsidRDefault="006104A2">
      <w:pPr>
        <w:jc w:val="both"/>
        <w:rPr>
          <w:b/>
          <w:i/>
          <w:color w:val="000000"/>
        </w:rPr>
      </w:pPr>
      <w:r>
        <w:rPr>
          <w:b/>
          <w:i/>
          <w:color w:val="000000"/>
        </w:rPr>
        <w:t>Положение определяет порядок установления и изменения границ сельскохозяйственных угодий в составе земель сельскохозяйственного назначения (далее - сельскохозяйственные угодья). С заявлением об изменении границ сельскохозяйственных угодий вправе обратиться, в том числе, пользователь недрами, осуществляющий геологическое изучение недр, разведку и добычу полезных ископаемых на основании лицензии на пользование недрами на земельном участке, в границах которого расположены сельскохозяйственные угодья.</w:t>
      </w:r>
    </w:p>
    <w:p w:rsidR="00A02ECF" w:rsidRDefault="00A02ECF">
      <w:pPr>
        <w:jc w:val="both"/>
        <w:rPr>
          <w:b/>
          <w:i/>
          <w:color w:val="000000"/>
        </w:rPr>
      </w:pPr>
    </w:p>
    <w:p w:rsidR="00A02ECF" w:rsidRDefault="006104A2">
      <w:pPr>
        <w:jc w:val="both"/>
        <w:rPr>
          <w:b/>
          <w:color w:val="000000"/>
          <w:u w:val="single"/>
        </w:rPr>
      </w:pPr>
      <w:r>
        <w:rPr>
          <w:b/>
          <w:color w:val="000000"/>
          <w:u w:val="single"/>
        </w:rPr>
        <w:t>40. Постановление Правительства Российской Федерации от 28.11.2025 № 1952 «Об утверждении Правил предоставления права пользования участком недр при установлении факта открытия месторождения полезных ископаемых на участке недр федерального значения или на участке недр, который отнесен к участкам недр федерального значения в результате открытия месторождения полезных ископаемых пользователем недр, осуществлявшим геологическое изучение недр такого участка, для разведки и добычи полезных ископаемых открытого месторождения»</w:t>
      </w:r>
    </w:p>
    <w:p w:rsidR="00A02ECF" w:rsidRDefault="006104A2">
      <w:pPr>
        <w:jc w:val="both"/>
        <w:rPr>
          <w:b/>
          <w:i/>
          <w:color w:val="000000"/>
        </w:rPr>
      </w:pPr>
      <w:r>
        <w:rPr>
          <w:b/>
          <w:i/>
          <w:color w:val="000000"/>
        </w:rPr>
        <w:t>Закреплено, что право пользования участком недр предоставляется лицу, которое в соответствии со свидетельством об установлении факта открытия месторождения полезных ископаемых обладает правом на подачу заявки для получения права пользования недрами.</w:t>
      </w:r>
    </w:p>
    <w:p w:rsidR="00A02ECF" w:rsidRDefault="006104A2">
      <w:pPr>
        <w:jc w:val="both"/>
        <w:rPr>
          <w:b/>
          <w:i/>
          <w:color w:val="000000"/>
        </w:rPr>
      </w:pPr>
      <w:r>
        <w:rPr>
          <w:b/>
          <w:i/>
          <w:color w:val="000000"/>
        </w:rPr>
        <w:t>Для получения права пользования участком недр необходимо подать в Роснедра заявку с указанием требуемой информации и приложением перечня документов. Ряд документов предоставляется не только в отношении заявителя, но и в отношении некоторых его контрагентов. При этом перечень документов и сведений является исчерпывающим. Требование о представлении иных документов и сведений не допускается.</w:t>
      </w:r>
    </w:p>
    <w:p w:rsidR="00A02ECF" w:rsidRDefault="00A02ECF">
      <w:pPr>
        <w:jc w:val="both"/>
        <w:rPr>
          <w:b/>
          <w:i/>
          <w:color w:val="000000"/>
        </w:rPr>
      </w:pPr>
    </w:p>
    <w:p w:rsidR="00A02ECF" w:rsidRDefault="006104A2">
      <w:pPr>
        <w:jc w:val="both"/>
        <w:rPr>
          <w:b/>
          <w:color w:val="000000"/>
          <w:u w:val="single"/>
        </w:rPr>
      </w:pPr>
      <w:r>
        <w:rPr>
          <w:b/>
          <w:color w:val="000000"/>
          <w:u w:val="single"/>
        </w:rPr>
        <w:t>41. Федеральный конституционный закон от 15.12.2025 № 4-ФКЗ «О внесении изменений в отдельные федеральные конституционные законы»</w:t>
      </w:r>
    </w:p>
    <w:p w:rsidR="00A02ECF" w:rsidRDefault="006104A2">
      <w:pPr>
        <w:jc w:val="both"/>
        <w:rPr>
          <w:b/>
          <w:i/>
          <w:color w:val="000000"/>
        </w:rPr>
      </w:pPr>
      <w:r>
        <w:rPr>
          <w:b/>
          <w:i/>
          <w:color w:val="000000"/>
        </w:rPr>
        <w:t xml:space="preserve">Вносятся корректировки в Федеральный конституционный закон от 4 октября 2022 года № 5-ФКЗ «О принятии в Российскую Федерацию Донецкой Народной Республики и образовании в составе Российской Федерации нового субъекта - Донецкой Народной Республики», Федеральный конституционный закон от 4 октября 2022 года № 6-ФКЗ «О принятии в Российскую Федерацию Луганской Народной Республики и образовании в составе Российской Федерации нового субъекта - Луганской Народной Республики», Федеральный конституционный закон от 4 октября 2022 года № 7-ФКЗ «О принятии в Российскую Федерацию Запорожской области и образовании в составе Российской Федерации нового субъекта - Запорожской области», Федеральный конституционный закон от </w:t>
      </w:r>
      <w:r>
        <w:rPr>
          <w:b/>
          <w:i/>
          <w:color w:val="000000"/>
        </w:rPr>
        <w:lastRenderedPageBreak/>
        <w:t>4 октября 2022 года № 8-ФКЗ «О принятии в Российскую Федерацию Херсонской области и образовании в составе Российской Федерации нового субъекта - Херсонской области».</w:t>
      </w:r>
    </w:p>
    <w:p w:rsidR="00A02ECF" w:rsidRDefault="006104A2">
      <w:pPr>
        <w:jc w:val="both"/>
        <w:rPr>
          <w:b/>
          <w:i/>
          <w:color w:val="000000"/>
        </w:rPr>
      </w:pPr>
      <w:r>
        <w:rPr>
          <w:b/>
          <w:i/>
          <w:color w:val="000000"/>
        </w:rPr>
        <w:t>Корректировки, в частности, касаются особенностей регулирования отношений в сфере использования и охраны недр в указанных субъектах Российской Федерации, в том числе в части предоставления в пользование участков недр, расположенных на их территориях, по лицензиям в целях краткосрочного (сроком до одного года) пользования такими участками недр.</w:t>
      </w:r>
    </w:p>
    <w:p w:rsidR="00A02ECF" w:rsidRDefault="00A02ECF">
      <w:pPr>
        <w:jc w:val="both"/>
        <w:rPr>
          <w:b/>
          <w:color w:val="000000"/>
          <w:u w:val="single"/>
        </w:rPr>
      </w:pPr>
    </w:p>
    <w:p w:rsidR="00A02ECF" w:rsidRDefault="006104A2">
      <w:pPr>
        <w:jc w:val="both"/>
        <w:rPr>
          <w:b/>
          <w:color w:val="000000"/>
          <w:u w:val="single"/>
        </w:rPr>
      </w:pPr>
      <w:r>
        <w:rPr>
          <w:b/>
          <w:color w:val="000000"/>
          <w:u w:val="single"/>
        </w:rPr>
        <w:t>42. Федеральный закон от 29.12.2025 № 554-ФЗ «О внесении изменений в Закон Российской Федерации «О недрах»</w:t>
      </w:r>
    </w:p>
    <w:p w:rsidR="00A02ECF" w:rsidRDefault="006104A2">
      <w:pPr>
        <w:jc w:val="both"/>
        <w:rPr>
          <w:b/>
          <w:i/>
          <w:color w:val="000000"/>
        </w:rPr>
      </w:pPr>
      <w:r>
        <w:rPr>
          <w:b/>
          <w:i/>
          <w:color w:val="000000"/>
        </w:rPr>
        <w:t>Вносятся корректировки, в частности, в статью, определяющую особенности строительства объектов капитального строительства в границах земельных участков, необходимых для разведки и добычи полезных ископаемых.</w:t>
      </w:r>
    </w:p>
    <w:p w:rsidR="00A02ECF" w:rsidRDefault="00A02ECF">
      <w:pPr>
        <w:jc w:val="both"/>
        <w:rPr>
          <w:b/>
          <w:i/>
          <w:color w:val="000000"/>
        </w:rPr>
      </w:pPr>
    </w:p>
    <w:p w:rsidR="00A02ECF" w:rsidRDefault="006104A2">
      <w:pPr>
        <w:jc w:val="both"/>
        <w:rPr>
          <w:b/>
          <w:color w:val="000000"/>
          <w:u w:val="single"/>
        </w:rPr>
      </w:pPr>
      <w:r>
        <w:rPr>
          <w:b/>
          <w:color w:val="000000"/>
          <w:u w:val="single"/>
        </w:rPr>
        <w:t>43. Федеральный закон от 29.12.2025 № 577-ФЗ «О внесении изменений в Федеральный закон «О защите конкуренции» и отдельные законодательные акты Российской Федерации»</w:t>
      </w:r>
    </w:p>
    <w:p w:rsidR="00A02ECF" w:rsidRDefault="006104A2">
      <w:pPr>
        <w:jc w:val="both"/>
        <w:rPr>
          <w:b/>
          <w:i/>
          <w:color w:val="000000"/>
        </w:rPr>
      </w:pPr>
      <w:r>
        <w:rPr>
          <w:b/>
          <w:i/>
          <w:color w:val="000000"/>
        </w:rPr>
        <w:t>В Закон Российской Федерации «О недрах» вносятся корректировки в части проведения аукциона на право пользования участками недр.</w:t>
      </w:r>
    </w:p>
    <w:p w:rsidR="00A02ECF" w:rsidRDefault="006104A2">
      <w:pPr>
        <w:spacing w:before="120"/>
        <w:jc w:val="both"/>
        <w:rPr>
          <w:b/>
          <w:i/>
        </w:rPr>
      </w:pPr>
      <w:r>
        <w:rPr>
          <w:b/>
          <w:i/>
        </w:rPr>
        <w:t>Способом реагирования на риски, связанные с изменениями в законодательстве, либо с решениями федеральных или региональных органов власти по вопросам лицензирования, является принятие. Группа Газпром не может гарантировать, что в будущем не произойдет изменений подобного рода, которые могут негативно повлиять на деятельность Группы. Однако в настоящее время предпосылок правового характера, связанных с усложнением процедуры получения лицензий либо снижением возможности продления действия лицензий ПАО «Газпром» и его дочерних обществ, не выявлено.</w:t>
      </w:r>
    </w:p>
    <w:p w:rsidR="00A02ECF" w:rsidRDefault="006104A2">
      <w:pPr>
        <w:spacing w:before="120"/>
        <w:jc w:val="both"/>
        <w:rPr>
          <w:b/>
          <w:bCs/>
          <w:i/>
          <w:iCs/>
        </w:rPr>
      </w:pPr>
      <w:r>
        <w:rPr>
          <w:b/>
          <w:bCs/>
          <w:i/>
          <w:iCs/>
        </w:rPr>
        <w:t>Проведенные в отчетном периоде мероприятия по управлению рисками позволили удерживать уровень рисков в приемлемом для ПАО «Газпром» диапазоне.</w:t>
      </w:r>
    </w:p>
    <w:p w:rsidR="00A02ECF" w:rsidRDefault="00A02ECF">
      <w:pPr>
        <w:spacing w:before="120"/>
        <w:jc w:val="both"/>
        <w:rPr>
          <w:b/>
          <w:bCs/>
          <w:i/>
          <w:iCs/>
          <w:u w:val="single"/>
        </w:rPr>
      </w:pPr>
    </w:p>
    <w:p w:rsidR="00A02ECF" w:rsidRDefault="006104A2">
      <w:pPr>
        <w:spacing w:before="120"/>
        <w:jc w:val="both"/>
        <w:rPr>
          <w:b/>
          <w:i/>
          <w:iCs/>
          <w:u w:val="single"/>
        </w:rPr>
      </w:pPr>
      <w:r>
        <w:rPr>
          <w:b/>
          <w:i/>
          <w:iCs/>
          <w:u w:val="single"/>
        </w:rPr>
        <w:t>Риски изменения судебно-процессуальной практики по вопросам, связанным с деятельностью Группы Газпром</w:t>
      </w:r>
    </w:p>
    <w:p w:rsidR="00A02ECF" w:rsidRDefault="006104A2">
      <w:pPr>
        <w:spacing w:before="120"/>
        <w:jc w:val="both"/>
        <w:rPr>
          <w:b/>
          <w:bCs/>
          <w:i/>
          <w:iCs/>
        </w:rPr>
      </w:pPr>
      <w:r>
        <w:rPr>
          <w:b/>
          <w:bCs/>
          <w:i/>
          <w:iCs/>
        </w:rPr>
        <w:t>Риски, связанные с изменением судебной практики по вопросам, связанным с деятельностью Группы (в том числе по вопросам лицензирования), которые могут негативно сказаться на результатах деятельности, а также на результатах текущих судебных процессов, в которых участвует Группа, в настоящий момент оцениваются как несущественные.</w:t>
      </w:r>
    </w:p>
    <w:p w:rsidR="00A02ECF" w:rsidRDefault="00A02ECF">
      <w:pPr>
        <w:spacing w:before="120"/>
        <w:jc w:val="both"/>
        <w:rPr>
          <w:u w:val="single"/>
        </w:rPr>
      </w:pPr>
    </w:p>
    <w:p w:rsidR="00A02ECF" w:rsidRDefault="006104A2">
      <w:pPr>
        <w:pStyle w:val="aff4"/>
        <w:spacing w:after="0"/>
        <w:ind w:left="0"/>
        <w:rPr>
          <w:b/>
          <w:i/>
          <w:szCs w:val="20"/>
          <w:u w:val="single"/>
          <w:lang w:val="ru-RU"/>
        </w:rPr>
      </w:pPr>
      <w:r>
        <w:rPr>
          <w:b/>
          <w:i/>
          <w:szCs w:val="20"/>
          <w:u w:val="single"/>
          <w:lang w:val="ru-RU"/>
        </w:rPr>
        <w:t>Риски, связанные с регулированием за рубежом</w:t>
      </w:r>
    </w:p>
    <w:p w:rsidR="00A02ECF" w:rsidRDefault="006104A2">
      <w:pPr>
        <w:spacing w:before="120"/>
        <w:jc w:val="both"/>
        <w:rPr>
          <w:b/>
          <w:bCs/>
          <w:i/>
          <w:iCs/>
        </w:rPr>
      </w:pPr>
      <w:r>
        <w:rPr>
          <w:b/>
          <w:bCs/>
          <w:i/>
          <w:iCs/>
        </w:rPr>
        <w:t xml:space="preserve">Группа Газпром на постоянной основе анализирует влияние, которое оказывает регулирование европейского газового рынка на ее деятельность. </w:t>
      </w:r>
    </w:p>
    <w:p w:rsidR="00A02ECF" w:rsidRDefault="006104A2">
      <w:pPr>
        <w:tabs>
          <w:tab w:val="left" w:pos="2506"/>
        </w:tabs>
        <w:jc w:val="both"/>
        <w:rPr>
          <w:b/>
          <w:bCs/>
          <w:i/>
          <w:highlight w:val="white"/>
        </w:rPr>
      </w:pPr>
      <w:r>
        <w:rPr>
          <w:b/>
          <w:bCs/>
          <w:i/>
          <w:iCs/>
        </w:rPr>
        <w:t>Регулирующие работу энергетических рынков документы, принятые ЕС в 2022</w:t>
      </w:r>
      <w:r>
        <w:rPr>
          <w:b/>
          <w:sz w:val="22"/>
          <w:szCs w:val="22"/>
        </w:rPr>
        <w:t>–</w:t>
      </w:r>
      <w:r>
        <w:rPr>
          <w:b/>
          <w:bCs/>
          <w:i/>
          <w:iCs/>
        </w:rPr>
        <w:t xml:space="preserve">2024 годах, продолжали оказывать влияние на деятельность Группы Газпром в 2025 году. </w:t>
      </w:r>
      <w:r>
        <w:rPr>
          <w:b/>
          <w:bCs/>
          <w:i/>
          <w:highlight w:val="white"/>
        </w:rPr>
        <w:t>Информация о регуляторных мерах, введенных до 2025 года, отражена в отчетах эмитента за соответствующие годы.</w:t>
      </w:r>
    </w:p>
    <w:p w:rsidR="00A02ECF" w:rsidRDefault="006104A2">
      <w:pPr>
        <w:spacing w:before="120"/>
        <w:jc w:val="both"/>
        <w:rPr>
          <w:b/>
          <w:bCs/>
          <w:i/>
          <w:iCs/>
        </w:rPr>
      </w:pPr>
      <w:r>
        <w:rPr>
          <w:b/>
          <w:bCs/>
          <w:i/>
          <w:iCs/>
        </w:rPr>
        <w:t xml:space="preserve">В рамках реализации плана «РЕПауэрИЮ» (REPowerEU) 3 февраля 2026 г. вступил в силу Регламент 2026/261 Европейского парламента и Совета ЕС об отказе от импорта российского природного газа и подготовке к отказу от импорта нефти, совершенствовании мониторинга потенциальной энергетической зависимости и внесении изменений в Регламент (ЕС) 2017/1938. Общий запрет на импорт в ЕС российского газа (как трубопроводного, так и сжиженного) вводится с 18 марта 2026 г. Для действующих контрактов на поставку газа предусмотрены исключения, согласно которым полный запрет на импорт СПГ будет введен не позднее 01.01.2027, на импорт трубопроводного газа – не позднее 01.11.2027 (при применении максимальных исключений). </w:t>
      </w:r>
    </w:p>
    <w:p w:rsidR="00A02ECF" w:rsidRDefault="00A02ECF">
      <w:pPr>
        <w:spacing w:before="0" w:after="0"/>
        <w:ind w:firstLine="567"/>
        <w:jc w:val="both"/>
        <w:rPr>
          <w:color w:val="000000"/>
        </w:rPr>
      </w:pPr>
    </w:p>
    <w:p w:rsidR="00A02ECF" w:rsidRDefault="006104A2">
      <w:pPr>
        <w:pStyle w:val="2"/>
        <w:rPr>
          <w:color w:val="000000"/>
        </w:rPr>
      </w:pPr>
      <w:bookmarkStart w:id="173" w:name="_Toc230104312"/>
      <w:r>
        <w:rPr>
          <w:color w:val="000000"/>
        </w:rPr>
        <w:t>1.9.5. Риск потери деловой репутации (репутационный риск)</w:t>
      </w:r>
      <w:bookmarkEnd w:id="173"/>
    </w:p>
    <w:p w:rsidR="00A02ECF" w:rsidRDefault="006104A2">
      <w:pPr>
        <w:spacing w:before="120"/>
        <w:jc w:val="both"/>
        <w:rPr>
          <w:b/>
          <w:i/>
        </w:rPr>
      </w:pPr>
      <w:r>
        <w:rPr>
          <w:b/>
          <w:i/>
        </w:rPr>
        <w:t>Репутационный риск – риск возникновения у ПАО «Газпром» и компаний Группы Газпром убытков в результате уменьшения числа клиентов (контрагентов) вследствие формирования в обществе негативного представления о финансовой устойчивости Общества, качестве оказываемых услуг или характере деятельности в целом.</w:t>
      </w:r>
    </w:p>
    <w:p w:rsidR="00A02ECF" w:rsidRDefault="006104A2">
      <w:pPr>
        <w:spacing w:before="120"/>
        <w:jc w:val="both"/>
        <w:rPr>
          <w:b/>
          <w:i/>
        </w:rPr>
      </w:pPr>
      <w:r>
        <w:rPr>
          <w:b/>
          <w:i/>
        </w:rPr>
        <w:lastRenderedPageBreak/>
        <w:t>ПАО «Газпром» ведет работу по формированию положительного представления о характере своей деятельности как внутри страны, так и за ее пределами. В частности, информирует заинтересованные стороны о реализации производственных программ, направленных на надежное, эффективное и сбалансированное обеспечение потребителей энергоресурсами, а также о реализации широкого спектра социально значимых проектов.</w:t>
      </w:r>
    </w:p>
    <w:p w:rsidR="00A02ECF" w:rsidRDefault="006104A2">
      <w:pPr>
        <w:spacing w:before="120"/>
        <w:jc w:val="both"/>
        <w:rPr>
          <w:b/>
          <w:i/>
        </w:rPr>
      </w:pPr>
      <w:r>
        <w:rPr>
          <w:b/>
          <w:i/>
        </w:rPr>
        <w:t xml:space="preserve">Вместе с тем, существует ряд факторов, которые могут влиять на деловую репутацию. </w:t>
      </w:r>
    </w:p>
    <w:p w:rsidR="00A02ECF" w:rsidRDefault="006104A2">
      <w:pPr>
        <w:spacing w:before="120"/>
        <w:jc w:val="both"/>
        <w:rPr>
          <w:b/>
          <w:i/>
        </w:rPr>
      </w:pPr>
      <w:r>
        <w:rPr>
          <w:b/>
          <w:i/>
        </w:rPr>
        <w:t xml:space="preserve">К реализации репутационного риска могут привести как подконтрольные, так и неподконтрольные ПАО «Газпром» факторы. </w:t>
      </w:r>
    </w:p>
    <w:p w:rsidR="00A02ECF" w:rsidRDefault="006104A2">
      <w:pPr>
        <w:spacing w:before="120"/>
        <w:jc w:val="both"/>
        <w:rPr>
          <w:b/>
          <w:i/>
        </w:rPr>
      </w:pPr>
      <w:r>
        <w:rPr>
          <w:b/>
          <w:i/>
        </w:rPr>
        <w:t>В числе внешних факторов - распространение негативной информации о российских компаниях в средствах массовой информации.</w:t>
      </w:r>
    </w:p>
    <w:p w:rsidR="00A02ECF" w:rsidRDefault="006104A2">
      <w:pPr>
        <w:spacing w:before="120"/>
        <w:jc w:val="both"/>
        <w:rPr>
          <w:b/>
          <w:i/>
        </w:rPr>
      </w:pPr>
      <w:r>
        <w:rPr>
          <w:b/>
          <w:i/>
        </w:rPr>
        <w:t>К числу принимаемых мер по управлению репутационным риском, в том числе, относятся:</w:t>
      </w:r>
    </w:p>
    <w:p w:rsidR="00A02ECF" w:rsidRDefault="006104A2">
      <w:pPr>
        <w:widowControl/>
        <w:numPr>
          <w:ilvl w:val="0"/>
          <w:numId w:val="32"/>
        </w:numPr>
        <w:spacing w:before="120" w:after="0"/>
        <w:ind w:left="567"/>
        <w:jc w:val="both"/>
        <w:rPr>
          <w:b/>
          <w:i/>
        </w:rPr>
      </w:pPr>
      <w:r>
        <w:rPr>
          <w:b/>
          <w:i/>
        </w:rPr>
        <w:t xml:space="preserve">постоянный мониторинг информации в зарубежных и российских открытых источниках, касающейся деятельности ПАО «Газпром» и компаний Группы Газпром, его партнеров, конкурентов, органов власти, экономических и общественных объединений; </w:t>
      </w:r>
    </w:p>
    <w:p w:rsidR="00A02ECF" w:rsidRDefault="006104A2">
      <w:pPr>
        <w:widowControl/>
        <w:numPr>
          <w:ilvl w:val="0"/>
          <w:numId w:val="32"/>
        </w:numPr>
        <w:spacing w:before="120" w:after="0"/>
        <w:ind w:left="567"/>
        <w:jc w:val="both"/>
        <w:rPr>
          <w:b/>
          <w:i/>
        </w:rPr>
      </w:pPr>
      <w:r>
        <w:rPr>
          <w:b/>
          <w:i/>
        </w:rPr>
        <w:t>своевременная подготовка официальных сообщений и комментариев для СМИ о ключевых событиях в деятельности ПАО «Газпром» и компаний Группы Газпром, проведение брифингов и пресс-конференций для СМИ;</w:t>
      </w:r>
    </w:p>
    <w:p w:rsidR="00A02ECF" w:rsidRDefault="006104A2">
      <w:pPr>
        <w:widowControl/>
        <w:numPr>
          <w:ilvl w:val="0"/>
          <w:numId w:val="32"/>
        </w:numPr>
        <w:spacing w:before="120" w:after="0"/>
        <w:ind w:left="567" w:hanging="357"/>
        <w:jc w:val="both"/>
        <w:rPr>
          <w:b/>
          <w:i/>
        </w:rPr>
      </w:pPr>
      <w:r>
        <w:rPr>
          <w:b/>
          <w:i/>
        </w:rPr>
        <w:t>оперативное реагирование на негативные сведения, представленные в СМИ о</w:t>
      </w:r>
      <w:r>
        <w:rPr>
          <w:b/>
          <w:i/>
          <w:lang w:val="en-US"/>
        </w:rPr>
        <w:t> </w:t>
      </w:r>
      <w:r>
        <w:rPr>
          <w:b/>
          <w:i/>
        </w:rPr>
        <w:t>деятельности ПАО «Газпром» и компаний Группы Газпром, посредством предоставления объективной информации и официальной позиции Общества.</w:t>
      </w:r>
    </w:p>
    <w:p w:rsidR="00A02ECF" w:rsidRDefault="00A02ECF">
      <w:pPr>
        <w:pStyle w:val="aff4"/>
        <w:rPr>
          <w:lang w:val="ru-RU"/>
        </w:rPr>
      </w:pPr>
      <w:bookmarkStart w:id="174" w:name="_Toc230104313"/>
    </w:p>
    <w:p w:rsidR="00A02ECF" w:rsidRDefault="006104A2">
      <w:pPr>
        <w:pStyle w:val="2"/>
      </w:pPr>
      <w:r>
        <w:t>1.9.6. Стратегический риск</w:t>
      </w:r>
      <w:bookmarkEnd w:id="170"/>
      <w:bookmarkEnd w:id="174"/>
    </w:p>
    <w:p w:rsidR="00A02ECF" w:rsidRDefault="006104A2">
      <w:pPr>
        <w:spacing w:before="120"/>
        <w:jc w:val="both"/>
        <w:rPr>
          <w:b/>
          <w:i/>
        </w:rPr>
      </w:pPr>
      <w:r>
        <w:rPr>
          <w:b/>
          <w:i/>
        </w:rPr>
        <w:t>Стратегические риски ПАО «Газпром» (Группы Газпром) вызваны неопределенностями, возникающими под влиянием различных внутренних и внешних факторов, которые могут оказать влияние на достижение Стратегической цели Общества, выраженной утвержденными Советом директоров ПАО «Газпром» стратегическими целевыми показателями.</w:t>
      </w:r>
    </w:p>
    <w:p w:rsidR="00A02ECF" w:rsidRDefault="006104A2">
      <w:pPr>
        <w:spacing w:before="120"/>
        <w:jc w:val="both"/>
      </w:pPr>
      <w:r>
        <w:rPr>
          <w:b/>
          <w:i/>
        </w:rPr>
        <w:t>Проводимые на постоянной основе мероприятия по управлению стратегическими рисками являются частью долгосрочного планирования деятельности компании и позволяют удерживать уровень рисков в приемлемом для ПАО «Газпром» (Группы Газпром) диапазоне.</w:t>
      </w:r>
    </w:p>
    <w:p w:rsidR="00A02ECF" w:rsidRDefault="00A02ECF"/>
    <w:p w:rsidR="00A02ECF" w:rsidRDefault="00A02ECF"/>
    <w:p w:rsidR="00A02ECF" w:rsidRDefault="006104A2">
      <w:pPr>
        <w:pStyle w:val="2"/>
        <w:rPr>
          <w:color w:val="000000"/>
        </w:rPr>
      </w:pPr>
      <w:bookmarkStart w:id="175" w:name="_Toc230104314"/>
      <w:r>
        <w:rPr>
          <w:color w:val="000000"/>
        </w:rPr>
        <w:t>1.9.7. Риски, связанные с деятельностью эмитента</w:t>
      </w:r>
      <w:bookmarkEnd w:id="171"/>
      <w:bookmarkEnd w:id="175"/>
    </w:p>
    <w:p w:rsidR="00A02ECF" w:rsidRDefault="006104A2">
      <w:pPr>
        <w:spacing w:before="120"/>
        <w:rPr>
          <w:b/>
          <w:i/>
          <w:iCs/>
          <w:u w:val="single"/>
        </w:rPr>
      </w:pPr>
      <w:bookmarkStart w:id="176" w:name="_Hlk143698785"/>
      <w:bookmarkStart w:id="177" w:name="_Hlk167175927"/>
      <w:r>
        <w:rPr>
          <w:b/>
          <w:i/>
          <w:iCs/>
          <w:u w:val="single"/>
        </w:rPr>
        <w:t>Риски, связанные с текущими судебными процессами и возможной ответственностью по долгам третьих лиц</w:t>
      </w:r>
    </w:p>
    <w:p w:rsidR="00A02ECF" w:rsidRDefault="006104A2">
      <w:pPr>
        <w:spacing w:before="120"/>
        <w:jc w:val="both"/>
        <w:rPr>
          <w:b/>
          <w:bCs/>
          <w:i/>
          <w:iCs/>
        </w:rPr>
      </w:pPr>
      <w:r>
        <w:rPr>
          <w:b/>
          <w:bCs/>
          <w:i/>
          <w:iCs/>
        </w:rPr>
        <w:t>Гражданский кодекс Российской Федерации и Федеральный закон от 26 декабря 1995 г. № 208-ФЗ «Об акционерных обществах» в целом предусматривают, что акционеры российского акционерного общества не несут ответственности по обязательствам своих обществ и только рискуют потерять свои инвестиции. Данные положения не применяются в случае, когда одна компания («материнская компания») имеет возможность определять решения, принимаемые другой компанией («дочерняя компания»). При определенных обстоятельствах материнская компания несет солидарную ответственность по обязательствам дочерней компании, возникшим в</w:t>
      </w:r>
      <w:r>
        <w:rPr>
          <w:b/>
          <w:bCs/>
          <w:i/>
          <w:iCs/>
          <w:lang w:val="en-US"/>
        </w:rPr>
        <w:t> </w:t>
      </w:r>
      <w:r>
        <w:rPr>
          <w:b/>
          <w:bCs/>
          <w:i/>
          <w:iCs/>
        </w:rPr>
        <w:t>результате выполнения таких решений, а в случае, если дочерняя компания становится неплатежеспособной или банкротом в результате действий или бездействия материнской компании, последняя несет субсидиарную ответственность по ее долгам. Дочерние общества, идентифицируемые как таковые и консолидируемые в финансовой отчетности Группы, могут – в</w:t>
      </w:r>
      <w:r>
        <w:rPr>
          <w:b/>
          <w:bCs/>
          <w:i/>
          <w:iCs/>
          <w:lang w:val="en-US"/>
        </w:rPr>
        <w:t> </w:t>
      </w:r>
      <w:r>
        <w:rPr>
          <w:b/>
          <w:bCs/>
          <w:i/>
          <w:iCs/>
        </w:rPr>
        <w:t xml:space="preserve">зависимости от определенных обстоятельств – рассматриваться российским судом как дочерние компании в вышеуказанном качестве. Соответственно, если будет установлена ответственность ПАО «Газпром» как материнской компании по обязательствам дочерних компаний, Общество может быть вынуждено погасить такие обязательства. </w:t>
      </w:r>
    </w:p>
    <w:p w:rsidR="00A02ECF" w:rsidRDefault="006104A2">
      <w:pPr>
        <w:spacing w:before="120"/>
        <w:jc w:val="both"/>
        <w:rPr>
          <w:b/>
          <w:bCs/>
          <w:i/>
          <w:iCs/>
        </w:rPr>
      </w:pPr>
      <w:r>
        <w:rPr>
          <w:b/>
          <w:bCs/>
          <w:i/>
          <w:iCs/>
        </w:rPr>
        <w:t>Кроме того, ПАО «Газпром», подконтрольные ПАО «Газпром» компании в своей деятельности используют практику предоставления обеспечения третьим лицам. Обеспечение предоставляется, в основном, в форме поручительства по обязательствам дочерних обществ</w:t>
      </w:r>
      <w:r w:rsidR="00697FEB">
        <w:rPr>
          <w:b/>
          <w:bCs/>
          <w:i/>
          <w:iCs/>
        </w:rPr>
        <w:t>, ассоциированных организаций и совместного предпринимательства</w:t>
      </w:r>
      <w:r>
        <w:rPr>
          <w:b/>
          <w:bCs/>
          <w:i/>
          <w:iCs/>
        </w:rPr>
        <w:t xml:space="preserve">. По условиям договора поручительства, а также </w:t>
      </w:r>
      <w:r>
        <w:rPr>
          <w:b/>
          <w:bCs/>
          <w:i/>
          <w:iCs/>
        </w:rPr>
        <w:lastRenderedPageBreak/>
        <w:t xml:space="preserve">в соответствии с положениями Гражданского кодекса Российской Федерации в случае невозможности полного или частичного исполнения должником своих обязательств кредитор имеет право требовать исполнения обязательства от поручителя в лице ПАО «Газпром», в лице подконтрольных ПАО «Газпром» компаний в объеме, определенном таким договором. </w:t>
      </w:r>
    </w:p>
    <w:p w:rsidR="00A02ECF" w:rsidRDefault="006104A2">
      <w:pPr>
        <w:spacing w:before="120"/>
        <w:jc w:val="both"/>
        <w:rPr>
          <w:b/>
          <w:bCs/>
          <w:i/>
          <w:iCs/>
        </w:rPr>
      </w:pPr>
      <w:r>
        <w:rPr>
          <w:b/>
          <w:bCs/>
          <w:i/>
          <w:iCs/>
        </w:rPr>
        <w:t xml:space="preserve">Исполнение подобного рода обязательств может оказать определенное негативное воздействие на результаты деятельности Группы Газпром. </w:t>
      </w:r>
      <w:r w:rsidR="00697FEB">
        <w:rPr>
          <w:b/>
          <w:bCs/>
          <w:i/>
          <w:iCs/>
        </w:rPr>
        <w:t>Р</w:t>
      </w:r>
      <w:r>
        <w:rPr>
          <w:b/>
          <w:bCs/>
          <w:i/>
          <w:iCs/>
        </w:rPr>
        <w:t>иски, связанные с наступлением ответственности по долгам третьих лиц, Обществом не выявлены.</w:t>
      </w:r>
    </w:p>
    <w:p w:rsidR="00A02ECF" w:rsidRDefault="00A02ECF">
      <w:pPr>
        <w:spacing w:before="0" w:after="0"/>
        <w:rPr>
          <w:b/>
          <w:i/>
          <w:iCs/>
          <w:u w:val="single"/>
        </w:rPr>
      </w:pPr>
    </w:p>
    <w:p w:rsidR="00A02ECF" w:rsidRDefault="00A02ECF">
      <w:pPr>
        <w:spacing w:before="0" w:after="0"/>
        <w:rPr>
          <w:b/>
          <w:i/>
          <w:iCs/>
          <w:u w:val="single"/>
        </w:rPr>
      </w:pPr>
    </w:p>
    <w:p w:rsidR="00A02ECF" w:rsidRDefault="006104A2">
      <w:pPr>
        <w:spacing w:before="120"/>
        <w:jc w:val="both"/>
        <w:rPr>
          <w:b/>
          <w:i/>
          <w:iCs/>
          <w:u w:val="single"/>
        </w:rPr>
      </w:pPr>
      <w:r>
        <w:rPr>
          <w:b/>
          <w:i/>
          <w:iCs/>
          <w:u w:val="single"/>
        </w:rPr>
        <w:t>Риски, связанные с отсутствием возможности продлить действие лицензий на ведение определенного вида деятельности либо на использование объектов, нахождение которых в обороте ограничено (включая природные ресурсы)</w:t>
      </w:r>
    </w:p>
    <w:p w:rsidR="00A02ECF" w:rsidRDefault="006104A2">
      <w:pPr>
        <w:spacing w:before="120"/>
        <w:jc w:val="both"/>
        <w:rPr>
          <w:b/>
          <w:bCs/>
          <w:i/>
          <w:iCs/>
        </w:rPr>
      </w:pPr>
      <w:r>
        <w:rPr>
          <w:b/>
          <w:bCs/>
          <w:i/>
          <w:iCs/>
        </w:rPr>
        <w:t xml:space="preserve">Группа Газпром ведет операционную деятельность в соответствии с </w:t>
      </w:r>
      <w:r>
        <w:rPr>
          <w:b/>
          <w:bCs/>
          <w:i/>
        </w:rPr>
        <w:t>Законом Российской Федерации «О недрах»</w:t>
      </w:r>
      <w:r>
        <w:rPr>
          <w:b/>
          <w:bCs/>
          <w:i/>
          <w:iCs/>
        </w:rPr>
        <w:t xml:space="preserve"> и подзаконными нормативными актами.</w:t>
      </w:r>
    </w:p>
    <w:p w:rsidR="00A02ECF" w:rsidRDefault="006104A2">
      <w:pPr>
        <w:spacing w:before="120"/>
        <w:jc w:val="both"/>
        <w:rPr>
          <w:b/>
          <w:bCs/>
          <w:i/>
          <w:iCs/>
        </w:rPr>
      </w:pPr>
      <w:r>
        <w:rPr>
          <w:b/>
          <w:bCs/>
          <w:i/>
          <w:iCs/>
        </w:rPr>
        <w:t>Лицензиями на пользование недрами с целью геологического изучения недр, разведки и добычи углеводородного сырья в основном владеют дочерние общества ПАО «Газпром». Лицензии на пользование недрами с целью разведки и добычи углеводородного сырья на месторождениях Группы покрывают период 2025–2299 годов. В значительном количестве лицензиями на пользование недрами предусматривается возможность их отзыва, если не выполняются существенные лицензионные требования.</w:t>
      </w:r>
    </w:p>
    <w:p w:rsidR="00A02ECF" w:rsidRDefault="006104A2">
      <w:pPr>
        <w:spacing w:before="120"/>
        <w:jc w:val="both"/>
        <w:rPr>
          <w:b/>
          <w:bCs/>
          <w:i/>
          <w:iCs/>
        </w:rPr>
      </w:pPr>
      <w:r>
        <w:rPr>
          <w:b/>
          <w:bCs/>
          <w:i/>
          <w:iCs/>
        </w:rPr>
        <w:t xml:space="preserve">ПАО «Газпром» и компании Группы соблюдают требования условий пользования недрами, предпринимают все необходимые действия для получения, поддержания в силе действия лицензий на пользование недрами и минимизации вероятности приостановки и отзыва лицензий. Кроме того, ПАО «Газпром» и компании Группы намерены продлить срок действия действующих лицензий на пользование недрами по месторождениям углеводородного сырья, которые будут продуктивными после окончания срока действия лицензий. </w:t>
      </w:r>
    </w:p>
    <w:p w:rsidR="00A02ECF" w:rsidRDefault="006104A2">
      <w:pPr>
        <w:spacing w:before="120"/>
        <w:jc w:val="both"/>
        <w:rPr>
          <w:b/>
          <w:bCs/>
          <w:i/>
          <w:iCs/>
        </w:rPr>
      </w:pPr>
      <w:r>
        <w:rPr>
          <w:b/>
          <w:bCs/>
          <w:i/>
          <w:iCs/>
        </w:rPr>
        <w:t>В настоящее время предпосылок правового, экономического или политического свойства, связанных с усложнением процедуры, либо отсутствием возможности продления действия лицензий на пользование недрами ПАО «Газпром» и компаний Группы не выявлено.</w:t>
      </w:r>
    </w:p>
    <w:p w:rsidR="00A02ECF" w:rsidRDefault="006104A2">
      <w:pPr>
        <w:spacing w:before="120"/>
        <w:jc w:val="both"/>
        <w:rPr>
          <w:b/>
          <w:bCs/>
          <w:i/>
          <w:iCs/>
        </w:rPr>
      </w:pPr>
      <w:r>
        <w:rPr>
          <w:b/>
          <w:bCs/>
          <w:i/>
          <w:iCs/>
        </w:rPr>
        <w:t>Кроме того, ПАО «Газпром» регулярно направляет в Правительство Российской Федерации, Государственную Думу Федерального Собрания Российской Федерации, Минприроды России предложения по совершенствованию законодательства о недрах и нормативно-правовой базы в сфере недропользования.</w:t>
      </w:r>
    </w:p>
    <w:p w:rsidR="00A02ECF" w:rsidRDefault="006104A2">
      <w:pPr>
        <w:spacing w:before="120"/>
        <w:jc w:val="both"/>
        <w:rPr>
          <w:b/>
          <w:bCs/>
          <w:i/>
          <w:iCs/>
        </w:rPr>
      </w:pPr>
      <w:bookmarkStart w:id="178" w:name="_Hlk199752135"/>
      <w:r>
        <w:rPr>
          <w:b/>
          <w:bCs/>
          <w:i/>
          <w:iCs/>
        </w:rPr>
        <w:t>Проведенные в отчетном периоде мероприятия по управлению рисками позволили удерживать уровень рисков в приемлемом для ПАО «Газпром» диапазоне.</w:t>
      </w:r>
      <w:bookmarkEnd w:id="178"/>
    </w:p>
    <w:p w:rsidR="00A02ECF" w:rsidRDefault="00A02ECF">
      <w:pPr>
        <w:spacing w:before="0" w:after="0"/>
        <w:jc w:val="both"/>
        <w:rPr>
          <w:b/>
          <w:bCs/>
          <w:i/>
          <w:iCs/>
          <w:u w:val="single"/>
        </w:rPr>
      </w:pPr>
    </w:p>
    <w:p w:rsidR="00A02ECF" w:rsidRDefault="006104A2">
      <w:pPr>
        <w:spacing w:before="40"/>
        <w:jc w:val="both"/>
        <w:rPr>
          <w:b/>
          <w:bCs/>
          <w:i/>
          <w:iCs/>
          <w:u w:val="single"/>
        </w:rPr>
      </w:pPr>
      <w:r>
        <w:rPr>
          <w:b/>
          <w:bCs/>
          <w:i/>
          <w:iCs/>
          <w:u w:val="single"/>
        </w:rPr>
        <w:t>Риски роста затрат</w:t>
      </w:r>
    </w:p>
    <w:p w:rsidR="00A02ECF" w:rsidRDefault="006104A2">
      <w:pPr>
        <w:pStyle w:val="affb"/>
        <w:spacing w:before="120"/>
        <w:contextualSpacing/>
        <w:rPr>
          <w:b/>
          <w:i/>
          <w:iCs/>
          <w:sz w:val="20"/>
        </w:rPr>
      </w:pPr>
      <w:r>
        <w:rPr>
          <w:b/>
          <w:i/>
          <w:iCs/>
          <w:sz w:val="20"/>
        </w:rPr>
        <w:t xml:space="preserve">Рост стоимости оборудования, технических устройств, комплектующих, а также работ и услуг, формирующих стоимость объектов капитального строительства, оказывают негативное влияние на инвестиционную деятельность ПАО «Газпром». </w:t>
      </w:r>
    </w:p>
    <w:p w:rsidR="00A02ECF" w:rsidRDefault="006104A2">
      <w:pPr>
        <w:pStyle w:val="affb"/>
        <w:spacing w:before="120"/>
        <w:rPr>
          <w:b/>
          <w:i/>
          <w:iCs/>
          <w:sz w:val="20"/>
        </w:rPr>
      </w:pPr>
      <w:r>
        <w:rPr>
          <w:b/>
          <w:i/>
          <w:iCs/>
          <w:sz w:val="20"/>
        </w:rPr>
        <w:t>Применение практики заключения договоров на выполнение работ (оказание услуг, поставку материально-технических ресурсов) с фиксированной ценой и контроль ее соблюдения при исполнении договоров снижают риски роста затрат при осуществлении инвестиционной деятельности.</w:t>
      </w:r>
    </w:p>
    <w:p w:rsidR="00A02ECF" w:rsidRDefault="006104A2">
      <w:pPr>
        <w:spacing w:before="120"/>
        <w:jc w:val="both"/>
        <w:rPr>
          <w:b/>
          <w:i/>
          <w:iCs/>
        </w:rPr>
      </w:pPr>
      <w:r>
        <w:rPr>
          <w:b/>
          <w:i/>
          <w:iCs/>
        </w:rPr>
        <w:t>Проведенные в отчетном периоде мероприятия по управлению рисками позволили удерживать уровень рисков в приемлемом для ПАО «Газпром» диапазоне.</w:t>
      </w:r>
    </w:p>
    <w:p w:rsidR="00A02ECF" w:rsidRDefault="00A02ECF">
      <w:pPr>
        <w:spacing w:before="0" w:after="0"/>
        <w:jc w:val="both"/>
        <w:rPr>
          <w:b/>
          <w:bCs/>
          <w:i/>
          <w:iCs/>
          <w:u w:val="single"/>
        </w:rPr>
      </w:pPr>
    </w:p>
    <w:p w:rsidR="00A02ECF" w:rsidRDefault="006104A2">
      <w:pPr>
        <w:spacing w:before="80" w:after="0"/>
        <w:jc w:val="both"/>
        <w:rPr>
          <w:b/>
          <w:bCs/>
          <w:i/>
          <w:iCs/>
          <w:u w:val="single"/>
        </w:rPr>
      </w:pPr>
      <w:r>
        <w:rPr>
          <w:b/>
          <w:bCs/>
          <w:i/>
          <w:iCs/>
          <w:u w:val="single"/>
        </w:rPr>
        <w:t>Риски, связанные с геологической неопределенностью и оценкой запасов углеводородов</w:t>
      </w:r>
    </w:p>
    <w:p w:rsidR="00A02ECF" w:rsidRDefault="006104A2">
      <w:pPr>
        <w:spacing w:before="120" w:after="0"/>
        <w:jc w:val="both"/>
        <w:rPr>
          <w:b/>
          <w:bCs/>
          <w:i/>
          <w:iCs/>
        </w:rPr>
      </w:pPr>
      <w:bookmarkStart w:id="179" w:name="_Hlk217984999"/>
      <w:r>
        <w:rPr>
          <w:b/>
          <w:bCs/>
          <w:i/>
          <w:iCs/>
        </w:rPr>
        <w:t xml:space="preserve">Группа Газпром выполняет геологоразведочные работы в регионах Западной и Восточной Сибири, на континентальном шельфе Российской Федерации, которые характеризуются удаленностью от населенных пунктов, сложными климатическими и горно-геологическими условиями, что приводит к определенным издержкам при планировании затрат на реализацию проектов поиска и разведки залежей углеводородов. Группа может столкнуться с необходимостью корректировки работ по реализации геологоразведочных проектов по ряду причин, включая </w:t>
      </w:r>
      <w:r>
        <w:rPr>
          <w:b/>
          <w:i/>
        </w:rPr>
        <w:t xml:space="preserve">задержки в получении буровых установок, простои в связи с неблагоприятными погодными условиями, </w:t>
      </w:r>
      <w:r>
        <w:rPr>
          <w:b/>
          <w:bCs/>
          <w:i/>
          <w:iCs/>
        </w:rPr>
        <w:t xml:space="preserve">геолого-технические </w:t>
      </w:r>
      <w:r>
        <w:rPr>
          <w:b/>
          <w:bCs/>
          <w:i/>
          <w:iCs/>
        </w:rPr>
        <w:lastRenderedPageBreak/>
        <w:t xml:space="preserve">осложнения в процессе бурения (нефтегазопроявления, поглощения промывочной жидкости, образование каверн в стволе скважины и др.). </w:t>
      </w:r>
    </w:p>
    <w:p w:rsidR="00A02ECF" w:rsidRDefault="006104A2">
      <w:pPr>
        <w:spacing w:before="120" w:after="0"/>
        <w:jc w:val="both"/>
        <w:rPr>
          <w:b/>
          <w:bCs/>
          <w:i/>
          <w:iCs/>
        </w:rPr>
      </w:pPr>
      <w:r>
        <w:rPr>
          <w:b/>
          <w:bCs/>
          <w:i/>
          <w:iCs/>
        </w:rPr>
        <w:t>Кроме того, при реализации проектов поиска и разведки углеводородов можно получить результат, отличный от ожидаемого. Вместе с тем, Группа Газпром обладает значительным опытом проведения подобных работ и использует при поисках и разведке углеводородов все имеющиеся геолого-геофизические данные, что ведет к снижению подобных рисков.</w:t>
      </w:r>
    </w:p>
    <w:p w:rsidR="00A02ECF" w:rsidRDefault="006104A2">
      <w:pPr>
        <w:spacing w:before="120" w:after="0"/>
        <w:jc w:val="both"/>
        <w:rPr>
          <w:b/>
          <w:i/>
        </w:rPr>
      </w:pPr>
      <w:r>
        <w:rPr>
          <w:b/>
          <w:i/>
        </w:rPr>
        <w:t xml:space="preserve">Стратегические цели Группы Газпром зависят от уровня запасов углеводородов, таким образом, неточность оценки запасов несет в себе риски для деятельности Группы. Точность оценки запасов зависит от качества доступной информации, а также от технологической и геологической интерпретации. В то же время регионы, где находится значительная часть запасов Группы, хорошо исследованы, что снижает данные риски. </w:t>
      </w:r>
    </w:p>
    <w:p w:rsidR="00A02ECF" w:rsidRDefault="006104A2">
      <w:pPr>
        <w:spacing w:before="120" w:after="0"/>
        <w:jc w:val="both"/>
        <w:rPr>
          <w:b/>
          <w:i/>
        </w:rPr>
      </w:pPr>
      <w:r>
        <w:rPr>
          <w:b/>
          <w:i/>
        </w:rPr>
        <w:t>Разработаны и реализуются процедуры оценки запасов, в том числе в соответствии с международными стандартами. Результаты оценки запасов в соответствии с российской классификацией запасов ставятся на баланс после рассмотрения и утверждения Государственной комиссией по запасам полезных ископаемых.</w:t>
      </w:r>
    </w:p>
    <w:p w:rsidR="00A02ECF" w:rsidRDefault="006104A2">
      <w:pPr>
        <w:spacing w:before="120" w:after="0"/>
        <w:jc w:val="both"/>
        <w:rPr>
          <w:b/>
          <w:bCs/>
          <w:i/>
          <w:iCs/>
        </w:rPr>
      </w:pPr>
      <w:bookmarkStart w:id="180" w:name="_Hlk206662336"/>
      <w:bookmarkStart w:id="181" w:name="_Hlk199752193"/>
      <w:r>
        <w:rPr>
          <w:b/>
          <w:bCs/>
          <w:i/>
          <w:iCs/>
        </w:rPr>
        <w:t>Проведенные в отчетном периоде мероприятия по управлению рисками позволили удерживать уровень рисков в приемлемом для ПАО «Газпром» диапазоне.</w:t>
      </w:r>
      <w:bookmarkEnd w:id="179"/>
      <w:bookmarkEnd w:id="180"/>
      <w:bookmarkEnd w:id="181"/>
    </w:p>
    <w:p w:rsidR="00A02ECF" w:rsidRDefault="00A02ECF">
      <w:pPr>
        <w:pStyle w:val="ConsPlusNormal"/>
        <w:spacing w:before="0" w:after="0"/>
        <w:ind w:left="0"/>
        <w:jc w:val="both"/>
        <w:rPr>
          <w:b/>
          <w:i/>
          <w:sz w:val="20"/>
          <w:szCs w:val="20"/>
          <w:u w:val="single"/>
        </w:rPr>
      </w:pPr>
    </w:p>
    <w:p w:rsidR="00A02ECF" w:rsidRDefault="006104A2">
      <w:pPr>
        <w:pStyle w:val="ConsPlusNormal"/>
        <w:spacing w:before="120"/>
        <w:ind w:left="0"/>
        <w:jc w:val="both"/>
        <w:rPr>
          <w:b/>
          <w:i/>
          <w:sz w:val="20"/>
          <w:szCs w:val="20"/>
          <w:u w:val="single"/>
        </w:rPr>
      </w:pPr>
      <w:bookmarkStart w:id="182" w:name="_Hlk135819020"/>
      <w:r>
        <w:rPr>
          <w:b/>
          <w:i/>
          <w:sz w:val="20"/>
          <w:szCs w:val="20"/>
          <w:u w:val="single"/>
        </w:rPr>
        <w:t>Риски, связанные с возможностью потери потребителей, на оборот с которыми приходится не менее чем 10 процентов общей выручки от продажи товаров (работ, услуг) эмитента (группы эмитента)</w:t>
      </w:r>
      <w:bookmarkEnd w:id="182"/>
    </w:p>
    <w:p w:rsidR="00A02ECF" w:rsidRDefault="006104A2">
      <w:pPr>
        <w:spacing w:before="120"/>
        <w:jc w:val="both"/>
        <w:rPr>
          <w:bCs/>
          <w:iCs/>
        </w:rPr>
      </w:pPr>
      <w:r>
        <w:rPr>
          <w:bCs/>
          <w:iCs/>
        </w:rPr>
        <w:t>Риски, связанные с возможностью потери потребителей, оборот с которыми составляет не менее 10% общей выручки от продажи газа.</w:t>
      </w:r>
    </w:p>
    <w:p w:rsidR="00A02ECF" w:rsidRDefault="006104A2">
      <w:pPr>
        <w:spacing w:before="120"/>
        <w:jc w:val="both"/>
        <w:rPr>
          <w:b/>
          <w:bCs/>
          <w:i/>
          <w:iCs/>
        </w:rPr>
      </w:pPr>
      <w:r>
        <w:rPr>
          <w:b/>
          <w:bCs/>
          <w:i/>
          <w:iCs/>
        </w:rPr>
        <w:t xml:space="preserve">Экспортные продажи газа за пределы Российской Федерации диверсифицированы по странам и формируют значительную часть выручки Компании. Ведется мониторинг рисков и работа по оптимизации экспортных контрактов. </w:t>
      </w:r>
    </w:p>
    <w:p w:rsidR="00A02ECF" w:rsidRDefault="006104A2">
      <w:pPr>
        <w:widowControl/>
        <w:spacing w:before="120" w:after="0"/>
        <w:jc w:val="both"/>
        <w:rPr>
          <w:b/>
          <w:bCs/>
          <w:i/>
          <w:iCs/>
        </w:rPr>
      </w:pPr>
      <w:r>
        <w:rPr>
          <w:b/>
          <w:bCs/>
          <w:i/>
          <w:iCs/>
        </w:rPr>
        <w:t>На российском газовом рынке Группа Газпром занимает устойчивое положение благодаря надежному и эффективному обеспечению потребителей природным газом, включая гарантированные поставки газа при повышении его потребления в осенне-зимний период. Газпром последовательно предпринимает ряд мер, направленных на сохранение и укрепление позиций на</w:t>
      </w:r>
      <w:r>
        <w:rPr>
          <w:b/>
          <w:bCs/>
          <w:i/>
          <w:iCs/>
          <w:lang w:val="en-US"/>
        </w:rPr>
        <w:t> </w:t>
      </w:r>
      <w:r>
        <w:rPr>
          <w:b/>
          <w:bCs/>
          <w:i/>
          <w:iCs/>
        </w:rPr>
        <w:t xml:space="preserve">внутреннем рынке, к основным из которых относятся: </w:t>
      </w:r>
    </w:p>
    <w:p w:rsidR="00A02ECF" w:rsidRDefault="006104A2">
      <w:pPr>
        <w:widowControl/>
        <w:numPr>
          <w:ilvl w:val="0"/>
          <w:numId w:val="33"/>
        </w:numPr>
        <w:spacing w:before="40" w:after="0"/>
        <w:ind w:left="567" w:hanging="357"/>
        <w:jc w:val="both"/>
        <w:rPr>
          <w:b/>
          <w:bCs/>
          <w:i/>
          <w:iCs/>
        </w:rPr>
      </w:pPr>
      <w:r>
        <w:rPr>
          <w:b/>
          <w:bCs/>
          <w:i/>
          <w:iCs/>
        </w:rPr>
        <w:t>разработка и реализация масштабных программ газификации регионов Российской Федерации, в том числе на востоке страны;</w:t>
      </w:r>
    </w:p>
    <w:p w:rsidR="00A02ECF" w:rsidRDefault="006104A2">
      <w:pPr>
        <w:widowControl/>
        <w:numPr>
          <w:ilvl w:val="0"/>
          <w:numId w:val="33"/>
        </w:numPr>
        <w:spacing w:before="40" w:after="0"/>
        <w:ind w:left="567" w:hanging="357"/>
        <w:jc w:val="both"/>
        <w:rPr>
          <w:b/>
          <w:bCs/>
          <w:i/>
          <w:iCs/>
        </w:rPr>
      </w:pPr>
      <w:r>
        <w:rPr>
          <w:b/>
          <w:bCs/>
          <w:i/>
          <w:iCs/>
        </w:rPr>
        <w:t>модернизация существующих и создание новых газоперерабатывающих мощностей;</w:t>
      </w:r>
    </w:p>
    <w:p w:rsidR="00A02ECF" w:rsidRDefault="006104A2">
      <w:pPr>
        <w:widowControl/>
        <w:numPr>
          <w:ilvl w:val="0"/>
          <w:numId w:val="33"/>
        </w:numPr>
        <w:spacing w:before="40" w:after="0"/>
        <w:ind w:left="567" w:hanging="357"/>
        <w:jc w:val="both"/>
        <w:rPr>
          <w:b/>
          <w:bCs/>
          <w:i/>
          <w:iCs/>
        </w:rPr>
      </w:pPr>
      <w:r>
        <w:rPr>
          <w:b/>
          <w:bCs/>
          <w:i/>
          <w:iCs/>
        </w:rPr>
        <w:t>реализация программ по стимулированию перевода транспорта на газовое топливо, развитие газомоторной инфраструктуры, включая формирование транзитных газомоторных коридоров, использование газа в качестве бункерного топлива, реализация проектов автономной газификации;</w:t>
      </w:r>
    </w:p>
    <w:p w:rsidR="00A02ECF" w:rsidRDefault="006104A2">
      <w:pPr>
        <w:widowControl/>
        <w:numPr>
          <w:ilvl w:val="0"/>
          <w:numId w:val="33"/>
        </w:numPr>
        <w:spacing w:before="40" w:after="0"/>
        <w:ind w:left="567" w:hanging="357"/>
        <w:jc w:val="both"/>
        <w:rPr>
          <w:b/>
          <w:bCs/>
          <w:i/>
          <w:iCs/>
        </w:rPr>
      </w:pPr>
      <w:r>
        <w:rPr>
          <w:b/>
          <w:bCs/>
          <w:i/>
          <w:iCs/>
        </w:rPr>
        <w:t>проведение гибкой маркетинговой политики в области организации закупок газа у независимых производителей с последующей его реализацией потребителям внутреннего рынка;</w:t>
      </w:r>
    </w:p>
    <w:p w:rsidR="00A02ECF" w:rsidRDefault="006104A2">
      <w:pPr>
        <w:widowControl/>
        <w:numPr>
          <w:ilvl w:val="0"/>
          <w:numId w:val="33"/>
        </w:numPr>
        <w:spacing w:before="40" w:after="0"/>
        <w:ind w:left="567" w:hanging="357"/>
        <w:jc w:val="both"/>
        <w:rPr>
          <w:b/>
          <w:bCs/>
          <w:i/>
          <w:iCs/>
        </w:rPr>
      </w:pPr>
      <w:r>
        <w:rPr>
          <w:b/>
          <w:bCs/>
          <w:i/>
          <w:iCs/>
        </w:rPr>
        <w:t>поддержка развития в России системы организованной торговли газом (на бирже), позволяющей ПАО «Газпром» реализовывать дополнительные объемы газа на внутреннем рынке.</w:t>
      </w:r>
    </w:p>
    <w:p w:rsidR="00A02ECF" w:rsidRDefault="006104A2">
      <w:pPr>
        <w:spacing w:before="120"/>
        <w:jc w:val="both"/>
        <w:rPr>
          <w:b/>
          <w:bCs/>
          <w:i/>
          <w:iCs/>
          <w:color w:val="000000"/>
        </w:rPr>
      </w:pPr>
      <w:r>
        <w:rPr>
          <w:b/>
          <w:bCs/>
          <w:i/>
          <w:iCs/>
          <w:color w:val="000000"/>
        </w:rPr>
        <w:t>Реализацией газа на территории Российской Федерации в основном занимается дочерняя компания ПАО «Газпром» - ООО «Газпром межрегионгаз» и его дочерние общества (далее Группа Газпром межрегионгаз). Группа Газпром межрегионгаз не имеет договорных отношений с потребителями, на оборот с которыми приходится не менее чем 10 процентов общей выручки от реализации газа, в связи с чем риск потери таких потребителей отсутствует.</w:t>
      </w:r>
    </w:p>
    <w:p w:rsidR="00A02ECF" w:rsidRDefault="006104A2">
      <w:pPr>
        <w:spacing w:before="120"/>
        <w:jc w:val="both"/>
        <w:rPr>
          <w:bCs/>
          <w:iCs/>
        </w:rPr>
      </w:pPr>
      <w:r>
        <w:rPr>
          <w:bCs/>
          <w:iCs/>
        </w:rPr>
        <w:t>Риски, связанные с возможностью потери потребителей, оборот с которыми составляет не менее 10% общей выручки от реализации нефти и нефтепродуктов.</w:t>
      </w:r>
    </w:p>
    <w:p w:rsidR="00A02ECF" w:rsidRDefault="006104A2">
      <w:pPr>
        <w:spacing w:before="120"/>
        <w:jc w:val="both"/>
        <w:rPr>
          <w:b/>
          <w:bCs/>
          <w:i/>
          <w:iCs/>
          <w:color w:val="000000"/>
        </w:rPr>
      </w:pPr>
      <w:r>
        <w:rPr>
          <w:b/>
          <w:bCs/>
          <w:i/>
          <w:iCs/>
          <w:color w:val="000000"/>
        </w:rPr>
        <w:t>Основная торговая деятельность Группы Газпром нефть связана с реализацией нефти и нефтепродуктов. С учетом рыночной ситуации и спроса на нефть и нефтепродукты риск потери таких потребителей является несущественным.</w:t>
      </w:r>
    </w:p>
    <w:p w:rsidR="00A02ECF" w:rsidRDefault="006104A2">
      <w:pPr>
        <w:spacing w:before="120" w:after="0"/>
        <w:jc w:val="both"/>
      </w:pPr>
      <w:r>
        <w:t xml:space="preserve">Риски, связанные с возможностью потери потребителей, оборот с которыми составляет не менее 10% общей выручки от продажи тепло- и электроэнергии. </w:t>
      </w:r>
    </w:p>
    <w:p w:rsidR="00A02ECF" w:rsidRDefault="006104A2">
      <w:pPr>
        <w:spacing w:before="120"/>
        <w:jc w:val="both"/>
        <w:rPr>
          <w:b/>
          <w:i/>
          <w:highlight w:val="white"/>
        </w:rPr>
      </w:pPr>
      <w:bookmarkStart w:id="183" w:name="_Hlk206758655"/>
      <w:r>
        <w:rPr>
          <w:b/>
          <w:i/>
          <w:highlight w:val="white"/>
        </w:rPr>
        <w:lastRenderedPageBreak/>
        <w:t>Генерирующие компании Группы Газпром участвуют в торговле электрической энергией и мощностью на ОРЭМ и реализуют тепловую энергию по тарифам, устанавливаемым органами исполнительной власти, осуществляющими функции государственного регулирования тарифов. Продажа электрической энергии и мощности на ОРЭМ осуществляется организациями Группы Газпром энергохолдинг в соответствии с договором о присоединении к торговой системе оптового рынка, контрагентом по которому выступает инфраструктурная организация, осуществляющая распределение объемов электроэнергии и мощности, проданной организациями Группы Газпром энергохолдинг между всеми покупателями на ОРЭМ, таким образом организации Группы Газпром энергохолдинг чувствительны не к ротации отдельных потребителей электрической энергии, а к общей конъюнктуре рынка. Спрос на тепловую энергию, производимую организациями Группы Газпром энергохолдинг, является устойчивым в связи с тем, что необходимость централизованного теплоснабжения определена проектными характеристиками присоединенных к системам теплоснабжения зданий. База клиентов – потребителей тепловой энергии является высокодифференцированной, поэтому риски, связанные с возможностью потери потребителей, оборот с которыми составляет не менее 10% общей выручки от продажи тепло- и электроэнергии оцениваются как несущественные.</w:t>
      </w:r>
      <w:bookmarkEnd w:id="183"/>
    </w:p>
    <w:p w:rsidR="00A02ECF" w:rsidRDefault="00A02ECF"/>
    <w:p w:rsidR="00A02ECF" w:rsidRDefault="006104A2">
      <w:pPr>
        <w:pStyle w:val="2"/>
        <w:rPr>
          <w:color w:val="000000"/>
        </w:rPr>
      </w:pPr>
      <w:bookmarkStart w:id="184" w:name="_Toc230104315"/>
      <w:r>
        <w:rPr>
          <w:color w:val="000000"/>
        </w:rPr>
        <w:t>1.9.8. Риск информационной безопасности</w:t>
      </w:r>
      <w:bookmarkEnd w:id="184"/>
    </w:p>
    <w:p w:rsidR="00A02ECF" w:rsidRDefault="006104A2">
      <w:pPr>
        <w:spacing w:before="120" w:after="0" w:line="228" w:lineRule="auto"/>
        <w:jc w:val="both"/>
        <w:rPr>
          <w:b/>
          <w:bCs/>
          <w:i/>
          <w:iCs/>
        </w:rPr>
      </w:pPr>
      <w:r>
        <w:rPr>
          <w:b/>
          <w:bCs/>
          <w:i/>
          <w:iCs/>
        </w:rPr>
        <w:t>Идентифицирован риск информационной безопасности (в пределах допустимого уровня), реализация которого может привести к нарушению целостности, конфиденциальности или доступности информационных активов Группы Газпром.</w:t>
      </w:r>
    </w:p>
    <w:p w:rsidR="00A02ECF" w:rsidRDefault="006104A2">
      <w:pPr>
        <w:spacing w:before="120" w:after="0" w:line="228" w:lineRule="auto"/>
        <w:jc w:val="both"/>
        <w:rPr>
          <w:b/>
          <w:bCs/>
          <w:i/>
          <w:iCs/>
        </w:rPr>
      </w:pPr>
      <w:r>
        <w:rPr>
          <w:b/>
          <w:bCs/>
          <w:i/>
          <w:iCs/>
        </w:rPr>
        <w:t>Мероприятия по управлению данным риском осуществляются в соответствии с требованиями законодательства Российской Федерации, в том числе постановлений Правительства Российской Федерации и приказов федеральных органов исполнительной власти, уполномоченных в области безопасности и технической защиты конфиденциальной информации, а также локальных нормативных актов Группы Газпром.</w:t>
      </w:r>
    </w:p>
    <w:p w:rsidR="00A02ECF" w:rsidRDefault="006104A2">
      <w:pPr>
        <w:spacing w:before="120" w:after="0"/>
        <w:jc w:val="both"/>
        <w:rPr>
          <w:b/>
          <w:bCs/>
          <w:i/>
          <w:iCs/>
        </w:rPr>
      </w:pPr>
      <w:r>
        <w:rPr>
          <w:b/>
          <w:bCs/>
          <w:i/>
          <w:iCs/>
        </w:rPr>
        <w:t>Реализованные и выполняемые мероприятия по управлению риском позволяют удерживать уровень идентифицированного риска в приемлемом для Группы Газпром диапазоне.</w:t>
      </w:r>
    </w:p>
    <w:p w:rsidR="00A02ECF" w:rsidRDefault="00A02ECF"/>
    <w:p w:rsidR="00A02ECF" w:rsidRDefault="006104A2">
      <w:pPr>
        <w:pStyle w:val="2"/>
        <w:rPr>
          <w:color w:val="000000"/>
        </w:rPr>
      </w:pPr>
      <w:bookmarkStart w:id="185" w:name="_Toc230104316"/>
      <w:r>
        <w:rPr>
          <w:color w:val="000000"/>
        </w:rPr>
        <w:t>1.9.9. Экологический риск</w:t>
      </w:r>
      <w:bookmarkEnd w:id="176"/>
      <w:bookmarkEnd w:id="185"/>
    </w:p>
    <w:p w:rsidR="00A02ECF" w:rsidRDefault="006104A2">
      <w:pPr>
        <w:spacing w:before="120"/>
        <w:jc w:val="both"/>
        <w:rPr>
          <w:b/>
          <w:bCs/>
          <w:i/>
          <w:iCs/>
        </w:rPr>
      </w:pPr>
      <w:bookmarkStart w:id="186" w:name="_Hlk199756138"/>
      <w:bookmarkStart w:id="187" w:name="_Hlk217297374"/>
      <w:bookmarkStart w:id="188" w:name="_Hlk135990208"/>
      <w:bookmarkEnd w:id="177"/>
      <w:r>
        <w:rPr>
          <w:b/>
          <w:bCs/>
          <w:i/>
          <w:iCs/>
        </w:rPr>
        <w:t xml:space="preserve">Производственная деятельность Группы Газпром сопряжена с потенциальной опасностью нанесения вреда окружающей среде или ее загрязнения. Следствием этого является риск возникновения гражданской ответственности за причинение такого вреда и необходимости проведения восстановительных работ. </w:t>
      </w:r>
    </w:p>
    <w:p w:rsidR="00A02ECF" w:rsidRDefault="006104A2">
      <w:pPr>
        <w:spacing w:before="120"/>
        <w:jc w:val="both"/>
        <w:rPr>
          <w:b/>
          <w:bCs/>
          <w:i/>
          <w:iCs/>
        </w:rPr>
      </w:pPr>
      <w:r>
        <w:rPr>
          <w:b/>
          <w:bCs/>
          <w:i/>
          <w:iCs/>
        </w:rPr>
        <w:t>Для снижения данного риска ПАО «Газпром» и компании Группы Газпром проводят последовательную экологическую политику, совершенствуют систему экологического менеджмента (СЭМ) в соответствии с</w:t>
      </w:r>
      <w:r>
        <w:rPr>
          <w:b/>
          <w:bCs/>
          <w:i/>
          <w:iCs/>
          <w:lang w:val="en-US"/>
        </w:rPr>
        <w:t> </w:t>
      </w:r>
      <w:r>
        <w:rPr>
          <w:b/>
          <w:bCs/>
          <w:i/>
          <w:iCs/>
        </w:rPr>
        <w:t xml:space="preserve">международным стандартом </w:t>
      </w:r>
      <w:r>
        <w:rPr>
          <w:b/>
          <w:bCs/>
          <w:i/>
          <w:iCs/>
          <w:lang w:val="en-GB"/>
        </w:rPr>
        <w:t>ISO</w:t>
      </w:r>
      <w:r>
        <w:rPr>
          <w:b/>
          <w:bCs/>
          <w:i/>
          <w:iCs/>
        </w:rPr>
        <w:t xml:space="preserve"> 14001:2015 и национальным стандартом ГОСТ Р ИСО 14001-2016, постоянно осуществляют мониторинг деятельности с</w:t>
      </w:r>
      <w:r>
        <w:rPr>
          <w:i/>
          <w:iCs/>
          <w:spacing w:val="-10"/>
        </w:rPr>
        <w:t xml:space="preserve"> </w:t>
      </w:r>
      <w:r>
        <w:rPr>
          <w:b/>
          <w:bCs/>
          <w:i/>
          <w:iCs/>
        </w:rPr>
        <w:t xml:space="preserve">целью соблюдения соответствующих природоохранных требований стандартов на всех этапах производственной деятельности, реализуют программы и мероприятия по охране окружающей среды и снижению воздействия на нее. </w:t>
      </w:r>
    </w:p>
    <w:p w:rsidR="00A02ECF" w:rsidRDefault="006104A2">
      <w:pPr>
        <w:spacing w:before="120"/>
        <w:jc w:val="both"/>
        <w:rPr>
          <w:b/>
          <w:bCs/>
          <w:i/>
          <w:iCs/>
        </w:rPr>
      </w:pPr>
      <w:r>
        <w:rPr>
          <w:b/>
          <w:bCs/>
          <w:i/>
          <w:iCs/>
        </w:rPr>
        <w:t xml:space="preserve">ПАО «Газпром» и компании Группы Газпром осуществляют страхование экологических рисков и проводят, помимо прочего, </w:t>
      </w:r>
      <w:r>
        <w:rPr>
          <w:b/>
          <w:i/>
          <w:iCs/>
          <w:color w:val="2C2D2E"/>
          <w:shd w:val="clear" w:color="auto" w:fill="FFFFFF"/>
        </w:rPr>
        <w:t>мероприятия по анализу возможных негативных воздействий на окружающую среду и</w:t>
      </w:r>
      <w:r>
        <w:rPr>
          <w:b/>
          <w:i/>
          <w:iCs/>
          <w:color w:val="2C2D2E"/>
          <w:shd w:val="clear" w:color="auto" w:fill="FFFFFF"/>
          <w:lang w:val="en-US"/>
        </w:rPr>
        <w:t> </w:t>
      </w:r>
      <w:r>
        <w:rPr>
          <w:b/>
          <w:i/>
          <w:iCs/>
          <w:color w:val="2C2D2E"/>
          <w:shd w:val="clear" w:color="auto" w:fill="FFFFFF"/>
        </w:rPr>
        <w:t>последствий в результате идентифицированных аварийных и чрезвычайных ситуаций, действия по предотвращению, локализации, снижению воздействий и ликвидации последствий, а также оценку экологического вреда в случае аварий и чрезвычайных ситуаций.</w:t>
      </w:r>
      <w:bookmarkEnd w:id="186"/>
      <w:bookmarkEnd w:id="187"/>
    </w:p>
    <w:p w:rsidR="00A02ECF" w:rsidRDefault="00A02ECF">
      <w:pPr>
        <w:spacing w:before="0" w:after="0"/>
        <w:ind w:firstLine="540"/>
        <w:jc w:val="both"/>
        <w:rPr>
          <w:color w:val="000000"/>
        </w:rPr>
      </w:pPr>
    </w:p>
    <w:p w:rsidR="00A02ECF" w:rsidRDefault="006104A2">
      <w:pPr>
        <w:pStyle w:val="2"/>
        <w:rPr>
          <w:color w:val="000000"/>
        </w:rPr>
      </w:pPr>
      <w:bookmarkStart w:id="189" w:name="_Toc230104317"/>
      <w:r>
        <w:rPr>
          <w:color w:val="000000"/>
        </w:rPr>
        <w:t>1.9.10. Природно-климатический риск</w:t>
      </w:r>
      <w:bookmarkEnd w:id="189"/>
    </w:p>
    <w:p w:rsidR="00A02ECF" w:rsidRDefault="006104A2">
      <w:pPr>
        <w:pStyle w:val="aff4"/>
        <w:spacing w:before="170" w:after="0"/>
        <w:ind w:left="0"/>
        <w:rPr>
          <w:b/>
          <w:i/>
          <w:szCs w:val="20"/>
          <w:u w:val="single"/>
          <w:lang w:val="ru-RU"/>
        </w:rPr>
      </w:pPr>
      <w:r>
        <w:rPr>
          <w:b/>
          <w:i/>
          <w:szCs w:val="20"/>
          <w:u w:val="single"/>
          <w:lang w:val="ru-RU"/>
        </w:rPr>
        <w:t>Природно-климатические риски</w:t>
      </w:r>
    </w:p>
    <w:p w:rsidR="00A02ECF" w:rsidRDefault="006104A2">
      <w:pPr>
        <w:spacing w:before="120"/>
        <w:jc w:val="both"/>
        <w:rPr>
          <w:b/>
          <w:bCs/>
          <w:i/>
          <w:iCs/>
        </w:rPr>
      </w:pPr>
      <w:bookmarkStart w:id="190" w:name="_Hlk206662455"/>
      <w:r>
        <w:rPr>
          <w:b/>
          <w:i/>
        </w:rPr>
        <w:t>Возможные изменения климата, неблагоприятные природные и гидрометеорологические явления, которые могут нанести ущерб зданиям и сооружениям, системам трубопроводного транспорта, инженерным коммуникациям</w:t>
      </w:r>
      <w:r>
        <w:rPr>
          <w:b/>
          <w:bCs/>
          <w:i/>
          <w:iCs/>
        </w:rPr>
        <w:t xml:space="preserve"> оказывают существенное влияние на деятельность Группы. Значительная доля объема добычи газа ПАО «Газпром» приходится на Арктическую зону Российской Федерации, Западную Сибирь, прежде всего на Ямало-Ненецкий автономный округ, где суровый климат </w:t>
      </w:r>
      <w:r>
        <w:rPr>
          <w:b/>
          <w:bCs/>
          <w:i/>
          <w:iCs/>
        </w:rPr>
        <w:lastRenderedPageBreak/>
        <w:t>осложняет добычу и увеличивает себестоимость природного газа. Дальнейшее освоение месторождений полуострова Ямал, а также ресурсов континентального шельфа России будет осуществляться в еще более сложных природно-климатических условиях.</w:t>
      </w:r>
    </w:p>
    <w:p w:rsidR="00A02ECF" w:rsidRDefault="006104A2">
      <w:pPr>
        <w:spacing w:before="120"/>
        <w:jc w:val="both"/>
        <w:rPr>
          <w:b/>
          <w:bCs/>
          <w:i/>
          <w:iCs/>
          <w:u w:val="single"/>
        </w:rPr>
      </w:pPr>
      <w:r>
        <w:rPr>
          <w:b/>
          <w:i/>
        </w:rPr>
        <w:t>Природно-климатические риски</w:t>
      </w:r>
      <w:r>
        <w:rPr>
          <w:b/>
          <w:bCs/>
          <w:i/>
          <w:iCs/>
        </w:rPr>
        <w:t xml:space="preserve"> учитываются при планировании деятельности Группы Газпром.</w:t>
      </w:r>
      <w:bookmarkEnd w:id="190"/>
    </w:p>
    <w:p w:rsidR="00A02ECF" w:rsidRDefault="006104A2">
      <w:pPr>
        <w:tabs>
          <w:tab w:val="left" w:pos="2506"/>
        </w:tabs>
        <w:spacing w:before="170"/>
        <w:jc w:val="both"/>
        <w:rPr>
          <w:b/>
          <w:bCs/>
          <w:i/>
          <w:iCs/>
          <w:u w:val="single"/>
        </w:rPr>
      </w:pPr>
      <w:r>
        <w:rPr>
          <w:b/>
          <w:bCs/>
          <w:i/>
          <w:iCs/>
          <w:u w:val="single"/>
        </w:rPr>
        <w:t>Операционные санитарно-биологические, эпидемиологические риски</w:t>
      </w:r>
    </w:p>
    <w:p w:rsidR="00A02ECF" w:rsidRDefault="006104A2">
      <w:pPr>
        <w:spacing w:before="120" w:after="0"/>
        <w:jc w:val="both"/>
        <w:rPr>
          <w:b/>
          <w:bCs/>
          <w:i/>
        </w:rPr>
      </w:pPr>
      <w:r>
        <w:rPr>
          <w:rFonts w:eastAsia="PT Astra Serif"/>
          <w:b/>
          <w:bCs/>
          <w:i/>
          <w:iCs/>
        </w:rPr>
        <w:t>В целях обеспечения стабильности работы и защиты работников организаций Группы Газпром на всех уровнях владения продолжают выполняться необходимые мероприятия по противодействию распространения новой коронавирусной инфекции с учетом рекомендаций органов государственной власти Российской Федерации и субъектов Российской Федерации. Оптимизация эпидемиологического риска служит основой для принятия управленческих решений о проведении комплекса противоэпидемических мероприятий в целях недопущения распространения инфекционных заболеваний.</w:t>
      </w:r>
    </w:p>
    <w:p w:rsidR="00A02ECF" w:rsidRDefault="006104A2">
      <w:pPr>
        <w:spacing w:before="120" w:after="0"/>
        <w:jc w:val="both"/>
        <w:rPr>
          <w:b/>
          <w:bCs/>
          <w:i/>
        </w:rPr>
      </w:pPr>
      <w:r>
        <w:rPr>
          <w:rFonts w:eastAsia="PT Astra Serif"/>
          <w:b/>
          <w:bCs/>
          <w:i/>
          <w:iCs/>
        </w:rPr>
        <w:t>В 2025 году регистрировались очаги заболевания коревой инфекции в разных регионах Российской Федерации. В организациях Группы Газпром продолжается активная работа по подчищающей иммунизации против кори, что позволило не допустить возникновения и массового распространения инфекции.</w:t>
      </w:r>
    </w:p>
    <w:p w:rsidR="00A02ECF" w:rsidRDefault="006104A2">
      <w:pPr>
        <w:spacing w:before="120" w:after="0"/>
        <w:jc w:val="both"/>
        <w:rPr>
          <w:b/>
          <w:bCs/>
          <w:i/>
        </w:rPr>
      </w:pPr>
      <w:r>
        <w:rPr>
          <w:rFonts w:eastAsia="PT Astra Serif"/>
          <w:b/>
          <w:bCs/>
          <w:i/>
          <w:iCs/>
        </w:rPr>
        <w:t>В соответствии с Национальным календарем профилактических прививок в организациях Группы Газпром ежегодно проводятся мероприятия по профилактике гриппа и других острых респираторных заболеваний.</w:t>
      </w:r>
    </w:p>
    <w:p w:rsidR="00A02ECF" w:rsidRDefault="006104A2">
      <w:pPr>
        <w:spacing w:before="120" w:after="0"/>
        <w:jc w:val="both"/>
        <w:rPr>
          <w:b/>
          <w:bCs/>
          <w:i/>
        </w:rPr>
      </w:pPr>
      <w:r>
        <w:rPr>
          <w:rFonts w:eastAsia="PT Astra Serif"/>
          <w:b/>
          <w:bCs/>
          <w:i/>
          <w:iCs/>
        </w:rPr>
        <w:t>Для работников, живущих и работающих на эндемичных по клещевому вирусному энцефалиту территориях – вакцинация против данной инфекции.</w:t>
      </w:r>
    </w:p>
    <w:p w:rsidR="00A02ECF" w:rsidRDefault="006104A2">
      <w:pPr>
        <w:spacing w:before="120" w:after="0"/>
        <w:jc w:val="both"/>
        <w:rPr>
          <w:b/>
          <w:bCs/>
          <w:i/>
        </w:rPr>
      </w:pPr>
      <w:r>
        <w:rPr>
          <w:rFonts w:eastAsia="PT Astra Serif"/>
          <w:b/>
          <w:bCs/>
          <w:i/>
          <w:iCs/>
        </w:rPr>
        <w:t>Выполняемые противоэпидемические мероприятия позволили снизить риски угрозы жизни и здоровью работников, обеспечив непрерывность производственной деятельности организаций Группы Газпром.</w:t>
      </w:r>
    </w:p>
    <w:p w:rsidR="00A02ECF" w:rsidRDefault="00A02ECF">
      <w:pPr>
        <w:spacing w:before="0" w:after="0"/>
        <w:jc w:val="both"/>
        <w:rPr>
          <w:color w:val="000000"/>
          <w:spacing w:val="3"/>
          <w:shd w:val="clear" w:color="auto" w:fill="FFFFFF"/>
        </w:rPr>
      </w:pPr>
    </w:p>
    <w:p w:rsidR="00A02ECF" w:rsidRDefault="006104A2">
      <w:pPr>
        <w:pStyle w:val="2"/>
        <w:rPr>
          <w:color w:val="000000"/>
        </w:rPr>
      </w:pPr>
      <w:bookmarkStart w:id="191" w:name="_Toc230104318"/>
      <w:r>
        <w:rPr>
          <w:color w:val="000000"/>
        </w:rPr>
        <w:t>1.9.11. Риски кредитных организаций</w:t>
      </w:r>
      <w:bookmarkEnd w:id="191"/>
      <w:r>
        <w:rPr>
          <w:color w:val="000000"/>
        </w:rPr>
        <w:t xml:space="preserve"> </w:t>
      </w:r>
    </w:p>
    <w:p w:rsidR="00A02ECF" w:rsidRDefault="006104A2">
      <w:r>
        <w:t>Эмитент не является кредитной организацией.</w:t>
      </w:r>
    </w:p>
    <w:p w:rsidR="00A02ECF" w:rsidRDefault="00A02ECF">
      <w:pPr>
        <w:spacing w:before="0" w:after="0"/>
      </w:pPr>
    </w:p>
    <w:p w:rsidR="00A02ECF" w:rsidRDefault="006104A2">
      <w:pPr>
        <w:pStyle w:val="2"/>
        <w:rPr>
          <w:color w:val="000000"/>
        </w:rPr>
      </w:pPr>
      <w:bookmarkStart w:id="192" w:name="_Toc230104319"/>
      <w:r>
        <w:rPr>
          <w:color w:val="000000"/>
        </w:rPr>
        <w:t>1.9.12. Иные риски, которые являются существенными для эмитента (группы эмитента)</w:t>
      </w:r>
      <w:bookmarkEnd w:id="188"/>
      <w:bookmarkEnd w:id="192"/>
    </w:p>
    <w:p w:rsidR="00A02ECF" w:rsidRDefault="006104A2">
      <w:pPr>
        <w:spacing w:before="120"/>
        <w:jc w:val="both"/>
        <w:rPr>
          <w:b/>
          <w:bCs/>
          <w:i/>
          <w:iCs/>
          <w:u w:val="single"/>
        </w:rPr>
      </w:pPr>
      <w:r>
        <w:rPr>
          <w:b/>
          <w:bCs/>
          <w:i/>
          <w:iCs/>
          <w:u w:val="single"/>
        </w:rPr>
        <w:t>Операционные риски, связанные с авариями и выходом из строя оборудования</w:t>
      </w:r>
    </w:p>
    <w:p w:rsidR="00A02ECF" w:rsidRDefault="006104A2">
      <w:pPr>
        <w:spacing w:before="120"/>
        <w:jc w:val="both"/>
        <w:rPr>
          <w:b/>
          <w:bCs/>
          <w:i/>
          <w:iCs/>
        </w:rPr>
      </w:pPr>
      <w:r>
        <w:rPr>
          <w:b/>
          <w:bCs/>
          <w:i/>
          <w:iCs/>
        </w:rPr>
        <w:t>Деятельность Группы Газпром по разведке, добыче, транспортировке, хранению и переработке газа может быть сопряжена с неблагоприятным влиянием многих факторов, включая выход из строя или отказ оборудования, возможные проблемы на уровне технологических процессов, снижение производственных показателей ниже ожидаемых уровней добычи или эффективности, природные катастрофы, террористические акты или диверсии на объектах Группы. Вместе с тем, Единая система газоснабжения обеспечивает системную надежность поставок газа (т.е. при аварии на каком-либо из участков поставки газа могут быть осуществлены по другим маршрутам).</w:t>
      </w:r>
    </w:p>
    <w:p w:rsidR="00A02ECF" w:rsidRDefault="006104A2">
      <w:pPr>
        <w:spacing w:before="120"/>
        <w:jc w:val="both"/>
        <w:rPr>
          <w:b/>
          <w:i/>
        </w:rPr>
      </w:pPr>
      <w:r>
        <w:rPr>
          <w:b/>
          <w:i/>
        </w:rPr>
        <w:t>Стабильность функционирования системы обеспечена современными и инновационными методами диагностики, своевременным выполнением капитального ремонта и технического обслуживания, проведения реконструкции и модернизации. Организована страховая защита имущественных интересов организаций Группы Газпром, включающая страхование имущества (в том числе морских объектов), страхование от перерывов в производственной деятельности и страхование ответственности при строительстве, ремонте и эксплуатации производственных объектов.</w:t>
      </w:r>
    </w:p>
    <w:p w:rsidR="00A02ECF" w:rsidRDefault="006104A2">
      <w:pPr>
        <w:spacing w:before="120"/>
        <w:jc w:val="both"/>
        <w:rPr>
          <w:b/>
          <w:bCs/>
          <w:i/>
          <w:iCs/>
        </w:rPr>
      </w:pPr>
      <w:r>
        <w:rPr>
          <w:b/>
          <w:bCs/>
          <w:i/>
          <w:iCs/>
        </w:rPr>
        <w:t>Группа Газпром строго соблюдает требования производственной безопасности, снижает риски аварий и травматизма, а также постоянно совершенствует Единую систему управления производственной безопасностью, интегрированную в систему управления корпоративными бизнес-процессами ПАО «Газпром».</w:t>
      </w:r>
    </w:p>
    <w:p w:rsidR="00A02ECF" w:rsidRDefault="006104A2">
      <w:pPr>
        <w:spacing w:before="120"/>
        <w:jc w:val="both"/>
        <w:rPr>
          <w:b/>
          <w:bCs/>
          <w:i/>
          <w:iCs/>
        </w:rPr>
      </w:pPr>
      <w:r>
        <w:rPr>
          <w:b/>
          <w:bCs/>
          <w:i/>
          <w:iCs/>
        </w:rPr>
        <w:t>В Компании поддерживается готовность к оперативному реагированию на аварийные ситуации и ликвидации последствий от них. На постоянной основе действуют все виды спасательных подразделений, деятельность которых связана с обеспечением газовой, пожарной, противофонтанной безопасности на море и на суше, предотвращением разливов нефти.</w:t>
      </w:r>
    </w:p>
    <w:p w:rsidR="00A02ECF" w:rsidRDefault="006104A2" w:rsidP="00E70217">
      <w:pPr>
        <w:pStyle w:val="110"/>
        <w:spacing w:before="120" w:beforeAutospacing="0" w:after="0" w:afterAutospacing="0"/>
        <w:ind w:left="0"/>
        <w:jc w:val="both"/>
      </w:pPr>
      <w:bookmarkStart w:id="193" w:name="_Hlk206662502"/>
      <w:r>
        <w:rPr>
          <w:b/>
          <w:bCs/>
          <w:i/>
          <w:iCs/>
          <w:sz w:val="20"/>
          <w:szCs w:val="20"/>
        </w:rPr>
        <w:t>Проведенные в отчетном периоде мероприятия по управлению операционными рисками, связанными с авариями и выходом из строя оборудования, позволили удерживать уровень рисков в приемлемом для ПАО «Газпром» диапазоне.</w:t>
      </w:r>
      <w:bookmarkEnd w:id="136"/>
      <w:bookmarkEnd w:id="193"/>
      <w:r>
        <w:br w:type="page" w:clear="all"/>
      </w:r>
    </w:p>
    <w:p w:rsidR="00A02ECF" w:rsidRDefault="006104A2">
      <w:pPr>
        <w:pStyle w:val="1"/>
        <w:spacing w:before="120"/>
        <w:rPr>
          <w:bCs w:val="0"/>
          <w:color w:val="000000"/>
          <w:szCs w:val="20"/>
        </w:rPr>
      </w:pPr>
      <w:bookmarkStart w:id="194" w:name="_Toc230104320"/>
      <w:r>
        <w:rPr>
          <w:bCs w:val="0"/>
          <w:color w:val="000000"/>
          <w:szCs w:val="20"/>
        </w:rPr>
        <w:lastRenderedPageBreak/>
        <w:t>Раздел 2. Сведения о лицах, входящих в состав органов управления эмитента, сведения об организации в эмитенте управления рисками, контроля за финансово-хозяйственной деятельностью и внутреннего контроля, внутреннего аудита, а также сведения о работниках эмитента</w:t>
      </w:r>
      <w:bookmarkEnd w:id="194"/>
    </w:p>
    <w:p w:rsidR="00A02ECF" w:rsidRDefault="006104A2">
      <w:pPr>
        <w:pStyle w:val="2"/>
        <w:rPr>
          <w:bCs w:val="0"/>
          <w:color w:val="000000"/>
          <w:szCs w:val="20"/>
        </w:rPr>
      </w:pPr>
      <w:bookmarkStart w:id="195" w:name="_Hlk176256412"/>
      <w:bookmarkStart w:id="196" w:name="_Toc230104321"/>
      <w:r>
        <w:rPr>
          <w:bCs w:val="0"/>
          <w:color w:val="000000"/>
          <w:szCs w:val="20"/>
        </w:rPr>
        <w:t>2.1. Информация о лицах, входящих в состав органов управления эмитента</w:t>
      </w:r>
      <w:bookmarkEnd w:id="195"/>
      <w:bookmarkEnd w:id="196"/>
    </w:p>
    <w:p w:rsidR="00EF117C" w:rsidRDefault="00EF117C" w:rsidP="00EF117C">
      <w:pPr>
        <w:pStyle w:val="2"/>
        <w:jc w:val="both"/>
        <w:rPr>
          <w:bCs w:val="0"/>
          <w:color w:val="000000"/>
          <w:szCs w:val="20"/>
        </w:rPr>
      </w:pPr>
      <w:bookmarkStart w:id="197" w:name="_Toc230104322"/>
      <w:r>
        <w:t>Информация не раскрывается в полном объеме на основании пункта 6 статьи 30.1 Федерального закона «О рынке ценных бумаг».</w:t>
      </w:r>
    </w:p>
    <w:p w:rsidR="00A02ECF" w:rsidRDefault="006104A2">
      <w:pPr>
        <w:pStyle w:val="2"/>
        <w:rPr>
          <w:bCs w:val="0"/>
          <w:color w:val="000000"/>
          <w:szCs w:val="20"/>
        </w:rPr>
      </w:pPr>
      <w:r>
        <w:rPr>
          <w:bCs w:val="0"/>
          <w:color w:val="000000"/>
          <w:szCs w:val="20"/>
        </w:rPr>
        <w:t>2.1.1. Состав совета директоров (наблюдательного совета) эмитента</w:t>
      </w:r>
      <w:bookmarkEnd w:id="197"/>
    </w:p>
    <w:p w:rsidR="00A02ECF" w:rsidRDefault="00A02ECF">
      <w:pPr>
        <w:spacing w:before="0" w:after="0"/>
      </w:pPr>
    </w:p>
    <w:p w:rsidR="00EF117C" w:rsidRDefault="00EF117C" w:rsidP="00EF117C">
      <w:bookmarkStart w:id="198" w:name="_Hlk182478777"/>
      <w:bookmarkStart w:id="199" w:name="_Hlk230334780"/>
      <w:r>
        <w:t>ФИО:</w:t>
      </w:r>
      <w:r>
        <w:rPr>
          <w:rStyle w:val="Subst"/>
        </w:rPr>
        <w:t xml:space="preserve"> Зубков Виктор Алексеевич</w:t>
      </w:r>
    </w:p>
    <w:p w:rsidR="00EF117C" w:rsidRDefault="00EF117C" w:rsidP="00EF117C">
      <w:r>
        <w:rPr>
          <w:rStyle w:val="Subst"/>
        </w:rPr>
        <w:t>(Председатель)</w:t>
      </w:r>
    </w:p>
    <w:p w:rsidR="00EF117C" w:rsidRDefault="00EF117C" w:rsidP="00EF117C">
      <w:pPr>
        <w:spacing w:before="0" w:after="0"/>
      </w:pPr>
    </w:p>
    <w:p w:rsidR="00EF117C" w:rsidRPr="00F84BB1" w:rsidRDefault="00EF117C" w:rsidP="00EF117C">
      <w:pPr>
        <w:jc w:val="center"/>
        <w:rPr>
          <w:b/>
        </w:rPr>
      </w:pPr>
      <w:bookmarkStart w:id="200" w:name="_Hlk182478803"/>
      <w:bookmarkEnd w:id="198"/>
      <w:r w:rsidRPr="00F84BB1">
        <w:rPr>
          <w:b/>
        </w:rPr>
        <w:t>…</w:t>
      </w:r>
    </w:p>
    <w:p w:rsidR="00EF117C" w:rsidRDefault="00EF117C" w:rsidP="00EF117C">
      <w:pPr>
        <w:ind w:left="200"/>
        <w:jc w:val="both"/>
      </w:pPr>
    </w:p>
    <w:p w:rsidR="00EF117C" w:rsidRDefault="00EF117C" w:rsidP="00EF117C">
      <w:pPr>
        <w:jc w:val="both"/>
      </w:pPr>
      <w:r>
        <w:t xml:space="preserve">Сведения об участии (член комитета, председатель комитета) членов совета директоров (наблюдательного совета) в работе комитета по аудиту: </w:t>
      </w:r>
    </w:p>
    <w:p w:rsidR="00EF117C" w:rsidRDefault="00EF117C" w:rsidP="00EF117C">
      <w:pPr>
        <w:ind w:firstLine="200"/>
        <w:jc w:val="both"/>
      </w:pPr>
      <w:r>
        <w:rPr>
          <w:rStyle w:val="Subst"/>
        </w:rPr>
        <w:t>Член совета директоров (наблюдательного совета) не участвует в работе комитета совета директоров (наблюдательного совета) по аудиту.</w:t>
      </w:r>
    </w:p>
    <w:p w:rsidR="00EF117C" w:rsidRDefault="00EF117C" w:rsidP="00EF117C">
      <w:pPr>
        <w:pStyle w:val="SubHeading"/>
        <w:jc w:val="both"/>
      </w:pPr>
      <w:r>
        <w:t>Сведения об участии (член комитета, председатель комитета) в работе комитетов совета директоров (наблюдательного совета):</w:t>
      </w:r>
    </w:p>
    <w:tbl>
      <w:tblPr>
        <w:tblW w:w="9096"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2" w:type="dxa"/>
          <w:right w:w="72" w:type="dxa"/>
        </w:tblCellMar>
        <w:tblLook w:val="04A0" w:firstRow="1" w:lastRow="0" w:firstColumn="1" w:lastColumn="0" w:noHBand="0" w:noVBand="1"/>
      </w:tblPr>
      <w:tblGrid>
        <w:gridCol w:w="7436"/>
        <w:gridCol w:w="1660"/>
      </w:tblGrid>
      <w:tr w:rsidR="00EF117C" w:rsidTr="009D5699">
        <w:tc>
          <w:tcPr>
            <w:tcW w:w="7436" w:type="dxa"/>
          </w:tcPr>
          <w:p w:rsidR="00EF117C" w:rsidRDefault="00EF117C" w:rsidP="009D5699">
            <w:pPr>
              <w:jc w:val="center"/>
            </w:pPr>
            <w:r>
              <w:t>Наименование комитета</w:t>
            </w:r>
          </w:p>
        </w:tc>
        <w:tc>
          <w:tcPr>
            <w:tcW w:w="1660" w:type="dxa"/>
          </w:tcPr>
          <w:p w:rsidR="00EF117C" w:rsidRDefault="00EF117C" w:rsidP="009D5699">
            <w:pPr>
              <w:jc w:val="center"/>
            </w:pPr>
            <w:r>
              <w:t>Председатель</w:t>
            </w:r>
          </w:p>
        </w:tc>
      </w:tr>
      <w:tr w:rsidR="00EF117C" w:rsidTr="009D5699">
        <w:tc>
          <w:tcPr>
            <w:tcW w:w="7436" w:type="dxa"/>
          </w:tcPr>
          <w:p w:rsidR="00EF117C" w:rsidRDefault="00EF117C" w:rsidP="009D5699">
            <w:r>
              <w:t>Комитет Совета директоров ПАО «Газпром» по устойчивому развитию</w:t>
            </w:r>
          </w:p>
        </w:tc>
        <w:tc>
          <w:tcPr>
            <w:tcW w:w="1660" w:type="dxa"/>
          </w:tcPr>
          <w:p w:rsidR="00EF117C" w:rsidRDefault="00EF117C" w:rsidP="009D5699">
            <w:pPr>
              <w:jc w:val="center"/>
            </w:pPr>
            <w:r>
              <w:t>Да</w:t>
            </w:r>
            <w:bookmarkEnd w:id="199"/>
          </w:p>
        </w:tc>
      </w:tr>
    </w:tbl>
    <w:p w:rsidR="00EF117C" w:rsidRDefault="00EF117C" w:rsidP="00EF117C">
      <w:pPr>
        <w:rPr>
          <w:b/>
          <w:i/>
          <w:color w:val="000000"/>
        </w:rPr>
      </w:pPr>
    </w:p>
    <w:p w:rsidR="00EF117C" w:rsidRDefault="00EF117C" w:rsidP="00EF117C">
      <w:pPr>
        <w:rPr>
          <w:b/>
          <w:i/>
          <w:color w:val="000000"/>
        </w:rPr>
      </w:pPr>
    </w:p>
    <w:p w:rsidR="00EF117C" w:rsidRDefault="00EF117C" w:rsidP="00EF117C">
      <w:bookmarkStart w:id="201" w:name="_Hlk230334844"/>
      <w:bookmarkStart w:id="202" w:name="_Hlk182478906"/>
      <w:r>
        <w:t>ФИО:</w:t>
      </w:r>
      <w:r>
        <w:rPr>
          <w:rStyle w:val="Subst"/>
        </w:rPr>
        <w:t xml:space="preserve"> Миллер Алексей Борисович</w:t>
      </w:r>
    </w:p>
    <w:bookmarkEnd w:id="200"/>
    <w:p w:rsidR="00EF117C" w:rsidRDefault="00EF117C" w:rsidP="00EF117C">
      <w:pPr>
        <w:ind w:left="200"/>
        <w:jc w:val="both"/>
      </w:pPr>
    </w:p>
    <w:p w:rsidR="00EF117C" w:rsidRPr="00F84BB1" w:rsidRDefault="00EF117C" w:rsidP="00EF117C">
      <w:pPr>
        <w:jc w:val="center"/>
        <w:rPr>
          <w:b/>
        </w:rPr>
      </w:pPr>
      <w:r w:rsidRPr="00F84BB1">
        <w:rPr>
          <w:b/>
        </w:rPr>
        <w:t>…</w:t>
      </w:r>
    </w:p>
    <w:p w:rsidR="00EF117C" w:rsidRDefault="00EF117C" w:rsidP="00EF117C">
      <w:pPr>
        <w:ind w:left="200"/>
        <w:jc w:val="both"/>
      </w:pPr>
    </w:p>
    <w:p w:rsidR="00EF117C" w:rsidRDefault="00EF117C" w:rsidP="00EF117C">
      <w:pPr>
        <w:jc w:val="both"/>
      </w:pPr>
      <w:r>
        <w:t xml:space="preserve">Сведения об участии (член комитета, председатель комитета) членов совета директоров (наблюдательного совета) в работе комитета по аудиту: </w:t>
      </w:r>
    </w:p>
    <w:p w:rsidR="00EF117C" w:rsidRDefault="00EF117C" w:rsidP="00EF117C">
      <w:pPr>
        <w:ind w:firstLine="200"/>
        <w:jc w:val="both"/>
      </w:pPr>
      <w:r>
        <w:rPr>
          <w:rStyle w:val="Subst"/>
        </w:rPr>
        <w:t>Член совета директоров (наблюдательного совета) не участвует в работе комитета совета директоров (наблюдательного совета) по аудиту.</w:t>
      </w:r>
    </w:p>
    <w:p w:rsidR="00EF117C" w:rsidRDefault="00EF117C" w:rsidP="00EF117C">
      <w:pPr>
        <w:pStyle w:val="SubHeading"/>
        <w:jc w:val="both"/>
      </w:pPr>
      <w:r>
        <w:t>Сведения об участии (член комитета, председатель комитета) в работе комитетов совета директоров (наблюдательного совета):</w:t>
      </w:r>
    </w:p>
    <w:tbl>
      <w:tblPr>
        <w:tblW w:w="9096"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2" w:type="dxa"/>
          <w:right w:w="72" w:type="dxa"/>
        </w:tblCellMar>
        <w:tblLook w:val="04A0" w:firstRow="1" w:lastRow="0" w:firstColumn="1" w:lastColumn="0" w:noHBand="0" w:noVBand="1"/>
      </w:tblPr>
      <w:tblGrid>
        <w:gridCol w:w="7436"/>
        <w:gridCol w:w="1660"/>
      </w:tblGrid>
      <w:tr w:rsidR="00EF117C" w:rsidTr="009D5699">
        <w:tc>
          <w:tcPr>
            <w:tcW w:w="7436" w:type="dxa"/>
          </w:tcPr>
          <w:p w:rsidR="00EF117C" w:rsidRDefault="00EF117C" w:rsidP="009D5699">
            <w:pPr>
              <w:jc w:val="center"/>
            </w:pPr>
            <w:r>
              <w:t>Наименование комитета</w:t>
            </w:r>
          </w:p>
        </w:tc>
        <w:tc>
          <w:tcPr>
            <w:tcW w:w="1660" w:type="dxa"/>
          </w:tcPr>
          <w:p w:rsidR="00EF117C" w:rsidRDefault="00EF117C" w:rsidP="009D5699">
            <w:pPr>
              <w:jc w:val="center"/>
            </w:pPr>
            <w:r>
              <w:t>Председатель</w:t>
            </w:r>
          </w:p>
        </w:tc>
      </w:tr>
      <w:tr w:rsidR="00EF117C" w:rsidTr="009D5699">
        <w:tc>
          <w:tcPr>
            <w:tcW w:w="7436" w:type="dxa"/>
          </w:tcPr>
          <w:p w:rsidR="00EF117C" w:rsidRDefault="00EF117C" w:rsidP="009D5699">
            <w:r>
              <w:t>Комитет Совета директоров ПАО «Газпром» по устойчивому развитию</w:t>
            </w:r>
          </w:p>
        </w:tc>
        <w:tc>
          <w:tcPr>
            <w:tcW w:w="1660" w:type="dxa"/>
          </w:tcPr>
          <w:p w:rsidR="00EF117C" w:rsidRDefault="00EF117C" w:rsidP="009D5699">
            <w:pPr>
              <w:jc w:val="center"/>
            </w:pPr>
            <w:r>
              <w:t>Нет</w:t>
            </w:r>
            <w:bookmarkEnd w:id="201"/>
          </w:p>
        </w:tc>
      </w:tr>
    </w:tbl>
    <w:p w:rsidR="00EF117C" w:rsidRDefault="00EF117C" w:rsidP="00EF117C">
      <w:pPr>
        <w:spacing w:before="120"/>
        <w:rPr>
          <w:b/>
          <w:i/>
          <w:color w:val="000000"/>
        </w:rPr>
      </w:pPr>
      <w:bookmarkStart w:id="203" w:name="_Hlk175651984"/>
      <w:bookmarkEnd w:id="202"/>
    </w:p>
    <w:p w:rsidR="00EF117C" w:rsidRDefault="00EF117C" w:rsidP="00EF117C">
      <w:pPr>
        <w:rPr>
          <w:b/>
          <w:i/>
          <w:color w:val="000000"/>
        </w:rPr>
      </w:pPr>
    </w:p>
    <w:p w:rsidR="00EF117C" w:rsidRDefault="00EF117C" w:rsidP="00EF117C">
      <w:bookmarkStart w:id="204" w:name="_Hlk230334875"/>
      <w:bookmarkStart w:id="205" w:name="_Hlk182479109"/>
      <w:r>
        <w:t>ФИО:</w:t>
      </w:r>
      <w:r>
        <w:rPr>
          <w:rStyle w:val="Subst"/>
        </w:rPr>
        <w:t xml:space="preserve"> Акимов Андрей Игоревич</w:t>
      </w:r>
    </w:p>
    <w:bookmarkEnd w:id="203"/>
    <w:p w:rsidR="00EF117C" w:rsidRDefault="00EF117C" w:rsidP="00EF117C">
      <w:pPr>
        <w:ind w:left="200"/>
        <w:jc w:val="both"/>
      </w:pPr>
    </w:p>
    <w:p w:rsidR="00EF117C" w:rsidRDefault="00EF117C" w:rsidP="00EF117C">
      <w:pPr>
        <w:jc w:val="center"/>
        <w:rPr>
          <w:b/>
        </w:rPr>
      </w:pPr>
      <w:r w:rsidRPr="00F84BB1">
        <w:rPr>
          <w:b/>
        </w:rPr>
        <w:t>…</w:t>
      </w:r>
    </w:p>
    <w:p w:rsidR="00EF117C" w:rsidRPr="00F84BB1" w:rsidRDefault="00EF117C" w:rsidP="00EF117C">
      <w:pPr>
        <w:ind w:left="200"/>
        <w:jc w:val="center"/>
        <w:rPr>
          <w:b/>
        </w:rPr>
      </w:pPr>
    </w:p>
    <w:p w:rsidR="00EF117C" w:rsidRDefault="00EF117C" w:rsidP="00EF117C">
      <w:pPr>
        <w:jc w:val="both"/>
      </w:pPr>
      <w:r>
        <w:t xml:space="preserve">Сведения об участии (член комитета, председатель комитета) членов совета директоров (наблюдательного совета) в работе комитета по аудиту: </w:t>
      </w:r>
    </w:p>
    <w:p w:rsidR="00EF117C" w:rsidRDefault="00EF117C" w:rsidP="00EF117C">
      <w:pPr>
        <w:ind w:firstLine="200"/>
        <w:jc w:val="both"/>
      </w:pPr>
      <w:r>
        <w:rPr>
          <w:rStyle w:val="Subst"/>
        </w:rPr>
        <w:t>Член совета директоров (наблюдательного совета) не участвует в работе комитета совета директоров (наблюдательного совета) по аудиту.</w:t>
      </w:r>
    </w:p>
    <w:p w:rsidR="00EF117C" w:rsidRDefault="00EF117C" w:rsidP="00EF117C">
      <w:pPr>
        <w:pStyle w:val="SubHeading"/>
        <w:jc w:val="both"/>
      </w:pPr>
      <w:r>
        <w:t>Сведения об участии (член комитета, председатель комитета) в работе комитетов совета директоров (наблюдательного совета):</w:t>
      </w:r>
    </w:p>
    <w:tbl>
      <w:tblPr>
        <w:tblW w:w="9096"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2" w:type="dxa"/>
          <w:right w:w="72" w:type="dxa"/>
        </w:tblCellMar>
        <w:tblLook w:val="04A0" w:firstRow="1" w:lastRow="0" w:firstColumn="1" w:lastColumn="0" w:noHBand="0" w:noVBand="1"/>
      </w:tblPr>
      <w:tblGrid>
        <w:gridCol w:w="7436"/>
        <w:gridCol w:w="1660"/>
      </w:tblGrid>
      <w:tr w:rsidR="00EF117C" w:rsidTr="009D5699">
        <w:tc>
          <w:tcPr>
            <w:tcW w:w="7436" w:type="dxa"/>
          </w:tcPr>
          <w:p w:rsidR="00EF117C" w:rsidRDefault="00EF117C" w:rsidP="009D5699">
            <w:pPr>
              <w:jc w:val="center"/>
            </w:pPr>
            <w:r>
              <w:lastRenderedPageBreak/>
              <w:t>Наименование комитета</w:t>
            </w:r>
          </w:p>
        </w:tc>
        <w:tc>
          <w:tcPr>
            <w:tcW w:w="1660" w:type="dxa"/>
          </w:tcPr>
          <w:p w:rsidR="00EF117C" w:rsidRDefault="00EF117C" w:rsidP="009D5699">
            <w:pPr>
              <w:jc w:val="center"/>
            </w:pPr>
            <w:r>
              <w:t>Председатель</w:t>
            </w:r>
          </w:p>
        </w:tc>
      </w:tr>
      <w:tr w:rsidR="00EF117C" w:rsidTr="009D5699">
        <w:tc>
          <w:tcPr>
            <w:tcW w:w="7436" w:type="dxa"/>
          </w:tcPr>
          <w:p w:rsidR="00EF117C" w:rsidRDefault="00EF117C" w:rsidP="009D5699">
            <w:r>
              <w:t>Комитет Совета директоров ПАО «Газпром» по устойчивому развитию</w:t>
            </w:r>
          </w:p>
        </w:tc>
        <w:tc>
          <w:tcPr>
            <w:tcW w:w="1660" w:type="dxa"/>
          </w:tcPr>
          <w:p w:rsidR="00EF117C" w:rsidRDefault="00EF117C" w:rsidP="009D5699">
            <w:pPr>
              <w:jc w:val="center"/>
            </w:pPr>
            <w:r>
              <w:t>Нет</w:t>
            </w:r>
            <w:bookmarkEnd w:id="204"/>
          </w:p>
        </w:tc>
      </w:tr>
    </w:tbl>
    <w:p w:rsidR="00EF117C" w:rsidRDefault="00EF117C" w:rsidP="00EF117C"/>
    <w:p w:rsidR="00EF117C" w:rsidRDefault="00EF117C" w:rsidP="00EF117C"/>
    <w:p w:rsidR="00EF117C" w:rsidRDefault="00EF117C" w:rsidP="00EF117C">
      <w:bookmarkStart w:id="206" w:name="_Hlk230334936"/>
      <w:r>
        <w:t>ФИО:</w:t>
      </w:r>
      <w:r>
        <w:rPr>
          <w:rStyle w:val="Subst"/>
        </w:rPr>
        <w:t xml:space="preserve"> Алиханов Антон Андреевич</w:t>
      </w:r>
    </w:p>
    <w:p w:rsidR="00EF117C" w:rsidRDefault="00EF117C" w:rsidP="00EF117C">
      <w:pPr>
        <w:jc w:val="both"/>
      </w:pPr>
    </w:p>
    <w:p w:rsidR="00EF117C" w:rsidRDefault="00EF117C" w:rsidP="00EF117C">
      <w:pPr>
        <w:jc w:val="center"/>
        <w:rPr>
          <w:b/>
        </w:rPr>
      </w:pPr>
      <w:r w:rsidRPr="00F84BB1">
        <w:rPr>
          <w:b/>
        </w:rPr>
        <w:t>…</w:t>
      </w:r>
    </w:p>
    <w:p w:rsidR="00EF117C" w:rsidRPr="00F84BB1" w:rsidRDefault="00EF117C" w:rsidP="00EF117C">
      <w:pPr>
        <w:jc w:val="both"/>
        <w:rPr>
          <w:b/>
        </w:rPr>
      </w:pPr>
    </w:p>
    <w:p w:rsidR="00EF117C" w:rsidRDefault="00EF117C" w:rsidP="00EF117C">
      <w:pPr>
        <w:jc w:val="both"/>
      </w:pPr>
      <w:r>
        <w:t xml:space="preserve">Сведения об участии (член комитета, председатель комитета) членов совета директоров (наблюдательного совета) в работе комитета по аудиту: </w:t>
      </w:r>
    </w:p>
    <w:p w:rsidR="00EF117C" w:rsidRDefault="00EF117C" w:rsidP="00EF117C">
      <w:pPr>
        <w:ind w:firstLine="200"/>
        <w:jc w:val="both"/>
      </w:pPr>
      <w:r>
        <w:rPr>
          <w:rStyle w:val="Subst"/>
        </w:rPr>
        <w:t>Член совета директоров (наблюдательного совета) не участвует в работе комитета совета директоров (наблюдательного совета) по аудиту.</w:t>
      </w:r>
    </w:p>
    <w:p w:rsidR="00EF117C" w:rsidRDefault="00EF117C" w:rsidP="00EF117C">
      <w:pPr>
        <w:pStyle w:val="SubHeading"/>
        <w:jc w:val="both"/>
      </w:pPr>
      <w:r>
        <w:t>Сведения об участии (член комитета, председатель комитета) в работе комитетов совета директоров (наблюдательного совета):</w:t>
      </w:r>
    </w:p>
    <w:tbl>
      <w:tblPr>
        <w:tblW w:w="9090" w:type="dxa"/>
        <w:tblInd w:w="72" w:type="dxa"/>
        <w:tblLayout w:type="fixed"/>
        <w:tblCellMar>
          <w:left w:w="72" w:type="dxa"/>
          <w:right w:w="72" w:type="dxa"/>
        </w:tblCellMar>
        <w:tblLook w:val="04A0" w:firstRow="1" w:lastRow="0" w:firstColumn="1" w:lastColumn="0" w:noHBand="0" w:noVBand="1"/>
      </w:tblPr>
      <w:tblGrid>
        <w:gridCol w:w="7436"/>
        <w:gridCol w:w="1654"/>
      </w:tblGrid>
      <w:tr w:rsidR="00EF117C" w:rsidTr="009D5699">
        <w:tc>
          <w:tcPr>
            <w:tcW w:w="7436" w:type="dxa"/>
            <w:tcBorders>
              <w:top w:val="single" w:sz="4" w:space="0" w:color="000000"/>
              <w:left w:val="single" w:sz="4" w:space="0" w:color="000000"/>
              <w:bottom w:val="single" w:sz="4" w:space="0" w:color="000000"/>
              <w:right w:val="single" w:sz="4" w:space="0" w:color="000000"/>
            </w:tcBorders>
          </w:tcPr>
          <w:p w:rsidR="00EF117C" w:rsidRDefault="00EF117C" w:rsidP="009D5699">
            <w:pPr>
              <w:jc w:val="center"/>
            </w:pPr>
            <w:r>
              <w:t>Наименование комитета</w:t>
            </w:r>
          </w:p>
        </w:tc>
        <w:tc>
          <w:tcPr>
            <w:tcW w:w="1654" w:type="dxa"/>
            <w:tcBorders>
              <w:top w:val="single" w:sz="4" w:space="0" w:color="000000"/>
              <w:left w:val="single" w:sz="4" w:space="0" w:color="000000"/>
              <w:bottom w:val="single" w:sz="4" w:space="0" w:color="000000"/>
              <w:right w:val="single" w:sz="4" w:space="0" w:color="000000"/>
            </w:tcBorders>
          </w:tcPr>
          <w:p w:rsidR="00EF117C" w:rsidRDefault="00EF117C" w:rsidP="009D5699">
            <w:pPr>
              <w:jc w:val="center"/>
            </w:pPr>
            <w:r>
              <w:t>Председатель</w:t>
            </w:r>
          </w:p>
        </w:tc>
      </w:tr>
      <w:tr w:rsidR="00EF117C" w:rsidTr="009D5699">
        <w:tc>
          <w:tcPr>
            <w:tcW w:w="7436" w:type="dxa"/>
            <w:tcBorders>
              <w:top w:val="single" w:sz="4" w:space="0" w:color="000000"/>
              <w:left w:val="single" w:sz="4" w:space="0" w:color="000000"/>
              <w:bottom w:val="single" w:sz="4" w:space="0" w:color="000000"/>
              <w:right w:val="single" w:sz="4" w:space="0" w:color="000000"/>
            </w:tcBorders>
          </w:tcPr>
          <w:p w:rsidR="00EF117C" w:rsidRDefault="00EF117C" w:rsidP="009D5699">
            <w:r>
              <w:t>Комитет Совета директоров ПАО «Газпром» по импортозамещению и технологическому развитию</w:t>
            </w:r>
          </w:p>
        </w:tc>
        <w:tc>
          <w:tcPr>
            <w:tcW w:w="1654" w:type="dxa"/>
            <w:tcBorders>
              <w:top w:val="single" w:sz="4" w:space="0" w:color="000000"/>
              <w:left w:val="single" w:sz="4" w:space="0" w:color="000000"/>
              <w:bottom w:val="single" w:sz="4" w:space="0" w:color="000000"/>
              <w:right w:val="single" w:sz="4" w:space="0" w:color="000000"/>
            </w:tcBorders>
          </w:tcPr>
          <w:p w:rsidR="00EF117C" w:rsidRDefault="00EF117C" w:rsidP="009D5699">
            <w:pPr>
              <w:jc w:val="center"/>
            </w:pPr>
            <w:r>
              <w:t>Да</w:t>
            </w:r>
            <w:bookmarkEnd w:id="206"/>
          </w:p>
        </w:tc>
      </w:tr>
    </w:tbl>
    <w:p w:rsidR="00EF117C" w:rsidRDefault="00EF117C" w:rsidP="00EF117C">
      <w:pPr>
        <w:spacing w:before="120"/>
        <w:jc w:val="both"/>
        <w:rPr>
          <w:b/>
          <w:i/>
        </w:rPr>
      </w:pPr>
    </w:p>
    <w:p w:rsidR="00EF117C" w:rsidRDefault="00EF117C" w:rsidP="00EF117C">
      <w:pPr>
        <w:jc w:val="both"/>
      </w:pPr>
    </w:p>
    <w:p w:rsidR="00EF117C" w:rsidRDefault="00EF117C" w:rsidP="00EF117C">
      <w:bookmarkStart w:id="207" w:name="_Hlk182479279"/>
      <w:bookmarkStart w:id="208" w:name="_Hlk230334968"/>
      <w:r>
        <w:t>ФИО:</w:t>
      </w:r>
      <w:r>
        <w:rPr>
          <w:rStyle w:val="Subst"/>
        </w:rPr>
        <w:t xml:space="preserve"> Максимцев Игорь Анатольевич</w:t>
      </w:r>
    </w:p>
    <w:p w:rsidR="00EF117C" w:rsidRDefault="00EF117C" w:rsidP="00EF117C">
      <w:pPr>
        <w:jc w:val="both"/>
      </w:pPr>
      <w:bookmarkStart w:id="209" w:name="_Hlk182479302"/>
      <w:bookmarkEnd w:id="205"/>
      <w:bookmarkEnd w:id="207"/>
    </w:p>
    <w:p w:rsidR="00EF117C" w:rsidRDefault="00EF117C" w:rsidP="00EF117C">
      <w:pPr>
        <w:jc w:val="center"/>
        <w:rPr>
          <w:b/>
        </w:rPr>
      </w:pPr>
      <w:r w:rsidRPr="00F84BB1">
        <w:rPr>
          <w:b/>
        </w:rPr>
        <w:t>…</w:t>
      </w:r>
    </w:p>
    <w:p w:rsidR="00EF117C" w:rsidRDefault="00EF117C" w:rsidP="00EF117C">
      <w:pPr>
        <w:jc w:val="both"/>
      </w:pPr>
    </w:p>
    <w:p w:rsidR="00EF117C" w:rsidRDefault="00EF117C" w:rsidP="00EF117C">
      <w:pPr>
        <w:spacing w:before="0" w:after="0"/>
        <w:jc w:val="both"/>
      </w:pPr>
      <w:r>
        <w:t xml:space="preserve">Сведения об участии (член комитета, председатель комитета) членов совета директоров (наблюдательного совета) в работе комитета по аудиту: </w:t>
      </w:r>
    </w:p>
    <w:tbl>
      <w:tblPr>
        <w:tblW w:w="910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17"/>
        <w:gridCol w:w="1985"/>
      </w:tblGrid>
      <w:tr w:rsidR="00EF117C" w:rsidTr="009D5699">
        <w:tc>
          <w:tcPr>
            <w:tcW w:w="7117" w:type="dxa"/>
          </w:tcPr>
          <w:p w:rsidR="00EF117C" w:rsidRDefault="00EF117C" w:rsidP="009D5699">
            <w:pPr>
              <w:jc w:val="center"/>
            </w:pPr>
            <w:r>
              <w:t>Наименование комитета</w:t>
            </w:r>
          </w:p>
        </w:tc>
        <w:tc>
          <w:tcPr>
            <w:tcW w:w="1985" w:type="dxa"/>
          </w:tcPr>
          <w:p w:rsidR="00EF117C" w:rsidRDefault="00EF117C" w:rsidP="009D5699">
            <w:pPr>
              <w:jc w:val="center"/>
            </w:pPr>
            <w:r>
              <w:t>Председатель</w:t>
            </w:r>
          </w:p>
        </w:tc>
      </w:tr>
      <w:tr w:rsidR="00EF117C" w:rsidTr="009D5699">
        <w:tc>
          <w:tcPr>
            <w:tcW w:w="7117" w:type="dxa"/>
          </w:tcPr>
          <w:p w:rsidR="00EF117C" w:rsidRDefault="00EF117C" w:rsidP="009D5699">
            <w:pPr>
              <w:jc w:val="both"/>
            </w:pPr>
            <w:r>
              <w:t>Комитет Совета директоров ПАО «Газпром» по аудиту</w:t>
            </w:r>
          </w:p>
        </w:tc>
        <w:tc>
          <w:tcPr>
            <w:tcW w:w="1985" w:type="dxa"/>
          </w:tcPr>
          <w:p w:rsidR="00EF117C" w:rsidRDefault="00EF117C" w:rsidP="009D5699">
            <w:pPr>
              <w:jc w:val="center"/>
            </w:pPr>
            <w:r>
              <w:t>Да</w:t>
            </w:r>
          </w:p>
        </w:tc>
      </w:tr>
    </w:tbl>
    <w:p w:rsidR="00EF117C" w:rsidRDefault="00EF117C" w:rsidP="00EF117C">
      <w:pPr>
        <w:jc w:val="both"/>
      </w:pPr>
    </w:p>
    <w:p w:rsidR="00EF117C" w:rsidRDefault="00EF117C" w:rsidP="00EF117C">
      <w:pPr>
        <w:pStyle w:val="SubHeading"/>
        <w:spacing w:before="0" w:after="0"/>
        <w:jc w:val="both"/>
      </w:pPr>
      <w:r>
        <w:t>Сведения об участии (член комитета, председатель комитета) в работе комитетов совета директоров (наблюдательного совета):</w:t>
      </w:r>
    </w:p>
    <w:tbl>
      <w:tblPr>
        <w:tblW w:w="910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17"/>
        <w:gridCol w:w="1985"/>
      </w:tblGrid>
      <w:tr w:rsidR="00EF117C" w:rsidTr="009D5699">
        <w:tc>
          <w:tcPr>
            <w:tcW w:w="7117" w:type="dxa"/>
          </w:tcPr>
          <w:p w:rsidR="00EF117C" w:rsidRDefault="00EF117C" w:rsidP="009D5699">
            <w:pPr>
              <w:jc w:val="center"/>
            </w:pPr>
            <w:r>
              <w:t>Наименование комитета</w:t>
            </w:r>
          </w:p>
        </w:tc>
        <w:tc>
          <w:tcPr>
            <w:tcW w:w="1985" w:type="dxa"/>
          </w:tcPr>
          <w:p w:rsidR="00EF117C" w:rsidRDefault="00EF117C" w:rsidP="009D5699">
            <w:pPr>
              <w:jc w:val="center"/>
            </w:pPr>
            <w:r>
              <w:t>Председатель</w:t>
            </w:r>
          </w:p>
        </w:tc>
      </w:tr>
      <w:tr w:rsidR="00EF117C" w:rsidTr="009D5699">
        <w:tc>
          <w:tcPr>
            <w:tcW w:w="7117" w:type="dxa"/>
          </w:tcPr>
          <w:p w:rsidR="00EF117C" w:rsidRDefault="00EF117C" w:rsidP="009D5699">
            <w:pPr>
              <w:jc w:val="both"/>
            </w:pPr>
            <w:r>
              <w:t>Комитет Совета директоров ПАО «Газпром» по назначениям и вознаграждениям</w:t>
            </w:r>
          </w:p>
        </w:tc>
        <w:tc>
          <w:tcPr>
            <w:tcW w:w="1985" w:type="dxa"/>
          </w:tcPr>
          <w:p w:rsidR="00EF117C" w:rsidRDefault="00EF117C" w:rsidP="009D5699">
            <w:pPr>
              <w:jc w:val="center"/>
            </w:pPr>
            <w:r>
              <w:t>Нет</w:t>
            </w:r>
            <w:bookmarkEnd w:id="208"/>
          </w:p>
        </w:tc>
      </w:tr>
    </w:tbl>
    <w:p w:rsidR="00EF117C" w:rsidRDefault="00EF117C" w:rsidP="00EF117C">
      <w:pPr>
        <w:spacing w:before="0" w:after="0"/>
        <w:rPr>
          <w:b/>
          <w:i/>
          <w:color w:val="000000"/>
        </w:rPr>
      </w:pPr>
    </w:p>
    <w:p w:rsidR="00EF117C" w:rsidRDefault="00EF117C" w:rsidP="00EF117C">
      <w:pPr>
        <w:spacing w:before="0" w:after="0"/>
        <w:ind w:left="198"/>
      </w:pPr>
      <w:bookmarkStart w:id="210" w:name="_Hlk182479393"/>
      <w:bookmarkEnd w:id="209"/>
    </w:p>
    <w:p w:rsidR="00EF117C" w:rsidRDefault="00EF117C" w:rsidP="00EF117C">
      <w:pPr>
        <w:spacing w:before="0" w:after="0"/>
        <w:ind w:left="198"/>
      </w:pPr>
    </w:p>
    <w:p w:rsidR="00EF117C" w:rsidRDefault="00EF117C" w:rsidP="00EF117C">
      <w:bookmarkStart w:id="211" w:name="_Hlk196474792"/>
      <w:r>
        <w:t>ФИО:</w:t>
      </w:r>
      <w:r>
        <w:rPr>
          <w:rStyle w:val="Subst"/>
        </w:rPr>
        <w:t xml:space="preserve"> Маркелов Виталий Анатольевич</w:t>
      </w:r>
    </w:p>
    <w:p w:rsidR="00EF117C" w:rsidRDefault="00EF117C" w:rsidP="00EF117C">
      <w:pPr>
        <w:spacing w:before="0" w:after="0"/>
        <w:jc w:val="both"/>
      </w:pPr>
      <w:bookmarkStart w:id="212" w:name="_Hlk144471312"/>
      <w:bookmarkEnd w:id="210"/>
    </w:p>
    <w:p w:rsidR="00EF117C" w:rsidRDefault="00EF117C" w:rsidP="00EF117C">
      <w:pPr>
        <w:jc w:val="center"/>
        <w:rPr>
          <w:b/>
        </w:rPr>
      </w:pPr>
      <w:r w:rsidRPr="00F84BB1">
        <w:rPr>
          <w:b/>
        </w:rPr>
        <w:t>…</w:t>
      </w:r>
    </w:p>
    <w:p w:rsidR="00EF117C" w:rsidRDefault="00EF117C" w:rsidP="00EF117C">
      <w:pPr>
        <w:spacing w:before="0" w:after="0"/>
        <w:jc w:val="both"/>
      </w:pPr>
    </w:p>
    <w:p w:rsidR="00EF117C" w:rsidRDefault="00EF117C" w:rsidP="00EF117C">
      <w:pPr>
        <w:jc w:val="both"/>
      </w:pPr>
      <w:r>
        <w:t xml:space="preserve">Сведения об участии (член комитета, председатель комитета) членов совета директоров (наблюдательного совета) в работе комитета по аудиту: </w:t>
      </w:r>
    </w:p>
    <w:p w:rsidR="00EF117C" w:rsidRDefault="00EF117C" w:rsidP="00EF117C">
      <w:pPr>
        <w:ind w:firstLine="200"/>
        <w:jc w:val="both"/>
      </w:pPr>
      <w:r>
        <w:rPr>
          <w:rStyle w:val="Subst"/>
        </w:rPr>
        <w:t>Член совета директоров (наблюдательного совета) не участвует в работе комитета совета директоров (наблюдательного совета) по аудиту.</w:t>
      </w:r>
    </w:p>
    <w:p w:rsidR="00EF117C" w:rsidRDefault="00EF117C" w:rsidP="00EF117C">
      <w:pPr>
        <w:pStyle w:val="SubHeading"/>
        <w:jc w:val="both"/>
      </w:pPr>
      <w:r>
        <w:t>Сведения об участии (член комитета, председатель комитета) в работе комитетов совета директоров (наблюдательного совета):</w:t>
      </w:r>
    </w:p>
    <w:tbl>
      <w:tblPr>
        <w:tblW w:w="9131" w:type="dxa"/>
        <w:tblInd w:w="72" w:type="dxa"/>
        <w:tblLayout w:type="fixed"/>
        <w:tblCellMar>
          <w:left w:w="72" w:type="dxa"/>
          <w:right w:w="72" w:type="dxa"/>
        </w:tblCellMar>
        <w:tblLook w:val="04A0" w:firstRow="1" w:lastRow="0" w:firstColumn="1" w:lastColumn="0" w:noHBand="0" w:noVBand="1"/>
      </w:tblPr>
      <w:tblGrid>
        <w:gridCol w:w="7291"/>
        <w:gridCol w:w="1840"/>
      </w:tblGrid>
      <w:tr w:rsidR="00EF117C" w:rsidTr="009D5699">
        <w:tc>
          <w:tcPr>
            <w:tcW w:w="7291" w:type="dxa"/>
            <w:tcBorders>
              <w:top w:val="single" w:sz="6" w:space="0" w:color="000000"/>
              <w:left w:val="single" w:sz="6" w:space="0" w:color="000000"/>
              <w:bottom w:val="single" w:sz="6" w:space="0" w:color="000000"/>
              <w:right w:val="single" w:sz="6" w:space="0" w:color="000000"/>
            </w:tcBorders>
          </w:tcPr>
          <w:p w:rsidR="00EF117C" w:rsidRDefault="00EF117C" w:rsidP="009D5699">
            <w:pPr>
              <w:ind w:left="142"/>
              <w:jc w:val="center"/>
            </w:pPr>
            <w:bookmarkStart w:id="213" w:name="_Hlk192240394"/>
            <w:r>
              <w:t>Наименование комитета</w:t>
            </w:r>
          </w:p>
        </w:tc>
        <w:tc>
          <w:tcPr>
            <w:tcW w:w="1840" w:type="dxa"/>
            <w:tcBorders>
              <w:top w:val="single" w:sz="6" w:space="0" w:color="000000"/>
              <w:left w:val="single" w:sz="6" w:space="0" w:color="000000"/>
              <w:bottom w:val="single" w:sz="6" w:space="0" w:color="000000"/>
              <w:right w:val="single" w:sz="6" w:space="0" w:color="000000"/>
            </w:tcBorders>
          </w:tcPr>
          <w:p w:rsidR="00EF117C" w:rsidRDefault="00EF117C" w:rsidP="009D5699">
            <w:pPr>
              <w:ind w:left="142"/>
              <w:jc w:val="center"/>
            </w:pPr>
            <w:r>
              <w:t>Председатель</w:t>
            </w:r>
          </w:p>
        </w:tc>
      </w:tr>
      <w:tr w:rsidR="00EF117C" w:rsidTr="009D5699">
        <w:tc>
          <w:tcPr>
            <w:tcW w:w="7291" w:type="dxa"/>
            <w:tcBorders>
              <w:top w:val="single" w:sz="6" w:space="0" w:color="000000"/>
              <w:left w:val="single" w:sz="6" w:space="0" w:color="000000"/>
              <w:bottom w:val="single" w:sz="6" w:space="0" w:color="000000"/>
              <w:right w:val="single" w:sz="6" w:space="0" w:color="000000"/>
            </w:tcBorders>
          </w:tcPr>
          <w:p w:rsidR="00EF117C" w:rsidRDefault="00EF117C" w:rsidP="009D5699">
            <w:r>
              <w:t>Комитет Совета директоров ПАО «Газпром» по импортозамещению и технологическому развитию</w:t>
            </w:r>
          </w:p>
        </w:tc>
        <w:tc>
          <w:tcPr>
            <w:tcW w:w="1840" w:type="dxa"/>
            <w:tcBorders>
              <w:top w:val="single" w:sz="6" w:space="0" w:color="000000"/>
              <w:left w:val="single" w:sz="6" w:space="0" w:color="000000"/>
              <w:bottom w:val="single" w:sz="6" w:space="0" w:color="000000"/>
              <w:right w:val="single" w:sz="6" w:space="0" w:color="000000"/>
            </w:tcBorders>
          </w:tcPr>
          <w:p w:rsidR="00EF117C" w:rsidRDefault="00EF117C" w:rsidP="009D5699">
            <w:pPr>
              <w:ind w:left="142"/>
              <w:jc w:val="center"/>
            </w:pPr>
            <w:r>
              <w:t>Нет</w:t>
            </w:r>
            <w:bookmarkEnd w:id="211"/>
            <w:bookmarkEnd w:id="212"/>
          </w:p>
        </w:tc>
      </w:tr>
    </w:tbl>
    <w:p w:rsidR="00EF117C" w:rsidRDefault="00EF117C" w:rsidP="00EF117C">
      <w:pPr>
        <w:spacing w:before="120" w:after="0"/>
        <w:rPr>
          <w:b/>
          <w:i/>
          <w:color w:val="000000"/>
        </w:rPr>
      </w:pPr>
    </w:p>
    <w:p w:rsidR="00EF117C" w:rsidRDefault="00EF117C" w:rsidP="00EF117C">
      <w:pPr>
        <w:spacing w:before="0" w:after="0"/>
        <w:rPr>
          <w:b/>
          <w:i/>
          <w:color w:val="000000"/>
        </w:rPr>
      </w:pPr>
    </w:p>
    <w:p w:rsidR="00EF117C" w:rsidRDefault="00EF117C" w:rsidP="00EF117C">
      <w:pPr>
        <w:spacing w:before="0" w:after="0"/>
        <w:rPr>
          <w:b/>
          <w:i/>
          <w:color w:val="000000"/>
        </w:rPr>
      </w:pPr>
    </w:p>
    <w:p w:rsidR="00EF117C" w:rsidRDefault="00EF117C" w:rsidP="00EF117C">
      <w:pPr>
        <w:spacing w:before="0" w:after="0"/>
        <w:rPr>
          <w:b/>
          <w:i/>
          <w:color w:val="000000"/>
        </w:rPr>
      </w:pPr>
    </w:p>
    <w:p w:rsidR="00EF117C" w:rsidRDefault="00EF117C" w:rsidP="00EF117C">
      <w:bookmarkStart w:id="214" w:name="_Hlk230335033"/>
      <w:bookmarkStart w:id="215" w:name="_Hlk196474857"/>
      <w:r>
        <w:lastRenderedPageBreak/>
        <w:t>ФИО:</w:t>
      </w:r>
      <w:r>
        <w:rPr>
          <w:rStyle w:val="Subst"/>
        </w:rPr>
        <w:t xml:space="preserve"> Мартынов Виктор Георгиевич</w:t>
      </w:r>
    </w:p>
    <w:p w:rsidR="00EF117C" w:rsidRDefault="00EF117C" w:rsidP="00EF117C">
      <w:pPr>
        <w:jc w:val="both"/>
        <w:rPr>
          <w:b/>
        </w:rPr>
      </w:pPr>
      <w:bookmarkStart w:id="216" w:name="_Hlk177550137"/>
      <w:bookmarkEnd w:id="213"/>
    </w:p>
    <w:p w:rsidR="00EF117C" w:rsidRDefault="00EF117C" w:rsidP="00EF117C">
      <w:pPr>
        <w:jc w:val="center"/>
        <w:rPr>
          <w:b/>
        </w:rPr>
      </w:pPr>
      <w:r w:rsidRPr="00F84BB1">
        <w:rPr>
          <w:b/>
        </w:rPr>
        <w:t>…</w:t>
      </w:r>
    </w:p>
    <w:p w:rsidR="00EF117C" w:rsidRDefault="00EF117C" w:rsidP="00EF117C">
      <w:pPr>
        <w:jc w:val="both"/>
      </w:pPr>
    </w:p>
    <w:p w:rsidR="00EF117C" w:rsidRDefault="00EF117C" w:rsidP="00EF117C">
      <w:pPr>
        <w:jc w:val="both"/>
      </w:pPr>
      <w:r>
        <w:t xml:space="preserve">Сведения об участии (член комитета, председатель комитета) членов совета директоров (наблюдательного совета) в работе комитета по аудиту: </w:t>
      </w:r>
    </w:p>
    <w:tbl>
      <w:tblPr>
        <w:tblW w:w="0" w:type="auto"/>
        <w:tblInd w:w="72"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CellMar>
          <w:left w:w="72" w:type="dxa"/>
          <w:right w:w="72" w:type="dxa"/>
        </w:tblCellMar>
        <w:tblLook w:val="04A0" w:firstRow="1" w:lastRow="0" w:firstColumn="1" w:lastColumn="0" w:noHBand="0" w:noVBand="1"/>
      </w:tblPr>
      <w:tblGrid>
        <w:gridCol w:w="7153"/>
        <w:gridCol w:w="1944"/>
      </w:tblGrid>
      <w:tr w:rsidR="00EF117C" w:rsidTr="009D5699">
        <w:tc>
          <w:tcPr>
            <w:tcW w:w="7153" w:type="dxa"/>
            <w:tcBorders>
              <w:top w:val="single" w:sz="4" w:space="0" w:color="000000"/>
              <w:bottom w:val="single" w:sz="4" w:space="0" w:color="000000"/>
            </w:tcBorders>
          </w:tcPr>
          <w:p w:rsidR="00EF117C" w:rsidRDefault="00EF117C" w:rsidP="009D5699">
            <w:pPr>
              <w:jc w:val="center"/>
            </w:pPr>
            <w:r>
              <w:t>Наименование комитета</w:t>
            </w:r>
          </w:p>
        </w:tc>
        <w:tc>
          <w:tcPr>
            <w:tcW w:w="1944" w:type="dxa"/>
            <w:tcBorders>
              <w:top w:val="single" w:sz="4" w:space="0" w:color="000000"/>
              <w:bottom w:val="single" w:sz="4" w:space="0" w:color="000000"/>
            </w:tcBorders>
          </w:tcPr>
          <w:p w:rsidR="00EF117C" w:rsidRDefault="00EF117C" w:rsidP="009D5699">
            <w:pPr>
              <w:jc w:val="center"/>
            </w:pPr>
            <w:r>
              <w:t>Председатель</w:t>
            </w:r>
          </w:p>
        </w:tc>
      </w:tr>
      <w:tr w:rsidR="00EF117C" w:rsidTr="009D5699">
        <w:tc>
          <w:tcPr>
            <w:tcW w:w="7153" w:type="dxa"/>
            <w:tcBorders>
              <w:top w:val="single" w:sz="4" w:space="0" w:color="000000"/>
            </w:tcBorders>
          </w:tcPr>
          <w:p w:rsidR="00EF117C" w:rsidRDefault="00EF117C" w:rsidP="009D5699">
            <w:r>
              <w:t>Комитет Совета директоров ПАО «Газпром» по аудиту</w:t>
            </w:r>
          </w:p>
        </w:tc>
        <w:tc>
          <w:tcPr>
            <w:tcW w:w="1944" w:type="dxa"/>
            <w:tcBorders>
              <w:top w:val="single" w:sz="4" w:space="0" w:color="000000"/>
            </w:tcBorders>
          </w:tcPr>
          <w:p w:rsidR="00EF117C" w:rsidRDefault="00EF117C" w:rsidP="009D5699">
            <w:pPr>
              <w:jc w:val="center"/>
            </w:pPr>
            <w:r>
              <w:t>Нет</w:t>
            </w:r>
          </w:p>
        </w:tc>
      </w:tr>
    </w:tbl>
    <w:p w:rsidR="00EF117C" w:rsidRDefault="00EF117C" w:rsidP="00EF117C">
      <w:pPr>
        <w:jc w:val="both"/>
      </w:pPr>
    </w:p>
    <w:p w:rsidR="00EF117C" w:rsidRDefault="00EF117C" w:rsidP="00EF117C">
      <w:pPr>
        <w:jc w:val="both"/>
      </w:pPr>
    </w:p>
    <w:p w:rsidR="00EF117C" w:rsidRDefault="00EF117C" w:rsidP="00EF117C">
      <w:pPr>
        <w:pStyle w:val="SubHeading"/>
        <w:spacing w:before="120"/>
        <w:jc w:val="both"/>
      </w:pPr>
      <w:r>
        <w:t>Сведения об участии (член комитета, председатель комитета) в работе комитетов совета директоров (наблюдательного совета):</w:t>
      </w:r>
    </w:p>
    <w:tbl>
      <w:tblPr>
        <w:tblW w:w="0" w:type="auto"/>
        <w:tblInd w:w="72"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CellMar>
          <w:left w:w="72" w:type="dxa"/>
          <w:right w:w="72" w:type="dxa"/>
        </w:tblCellMar>
        <w:tblLook w:val="04A0" w:firstRow="1" w:lastRow="0" w:firstColumn="1" w:lastColumn="0" w:noHBand="0" w:noVBand="1"/>
      </w:tblPr>
      <w:tblGrid>
        <w:gridCol w:w="7153"/>
        <w:gridCol w:w="1944"/>
      </w:tblGrid>
      <w:tr w:rsidR="00EF117C" w:rsidTr="009D5699">
        <w:tc>
          <w:tcPr>
            <w:tcW w:w="7153" w:type="dxa"/>
            <w:tcBorders>
              <w:top w:val="single" w:sz="4" w:space="0" w:color="000000"/>
              <w:bottom w:val="single" w:sz="4" w:space="0" w:color="000000"/>
            </w:tcBorders>
          </w:tcPr>
          <w:p w:rsidR="00EF117C" w:rsidRDefault="00EF117C" w:rsidP="009D5699">
            <w:pPr>
              <w:jc w:val="center"/>
            </w:pPr>
            <w:r>
              <w:t>Наименование комитета</w:t>
            </w:r>
          </w:p>
        </w:tc>
        <w:tc>
          <w:tcPr>
            <w:tcW w:w="1944" w:type="dxa"/>
            <w:tcBorders>
              <w:top w:val="single" w:sz="4" w:space="0" w:color="000000"/>
              <w:bottom w:val="single" w:sz="4" w:space="0" w:color="000000"/>
            </w:tcBorders>
          </w:tcPr>
          <w:p w:rsidR="00EF117C" w:rsidRDefault="00EF117C" w:rsidP="009D5699">
            <w:pPr>
              <w:jc w:val="center"/>
            </w:pPr>
            <w:r>
              <w:t>Председатель</w:t>
            </w:r>
          </w:p>
        </w:tc>
      </w:tr>
      <w:tr w:rsidR="00EF117C" w:rsidTr="009D5699">
        <w:tc>
          <w:tcPr>
            <w:tcW w:w="7153" w:type="dxa"/>
            <w:tcBorders>
              <w:top w:val="single" w:sz="4" w:space="0" w:color="000000"/>
            </w:tcBorders>
          </w:tcPr>
          <w:p w:rsidR="00EF117C" w:rsidRDefault="00EF117C" w:rsidP="009D5699">
            <w:r>
              <w:t>Комитет Совета директоров ПАО «Газпром» по назначениям и вознаграждениям</w:t>
            </w:r>
          </w:p>
        </w:tc>
        <w:tc>
          <w:tcPr>
            <w:tcW w:w="1944" w:type="dxa"/>
            <w:tcBorders>
              <w:top w:val="single" w:sz="4" w:space="0" w:color="000000"/>
            </w:tcBorders>
          </w:tcPr>
          <w:p w:rsidR="00EF117C" w:rsidRDefault="00EF117C" w:rsidP="009D5699">
            <w:pPr>
              <w:jc w:val="center"/>
            </w:pPr>
            <w:r>
              <w:t>Нет</w:t>
            </w:r>
            <w:bookmarkEnd w:id="214"/>
          </w:p>
        </w:tc>
      </w:tr>
      <w:bookmarkEnd w:id="215"/>
    </w:tbl>
    <w:p w:rsidR="00EF117C" w:rsidRDefault="00EF117C" w:rsidP="00EF117C">
      <w:pPr>
        <w:spacing w:before="120"/>
        <w:ind w:left="198"/>
      </w:pPr>
    </w:p>
    <w:p w:rsidR="00EF117C" w:rsidRDefault="00EF117C" w:rsidP="00EF117C">
      <w:pPr>
        <w:ind w:left="200"/>
      </w:pPr>
    </w:p>
    <w:p w:rsidR="00EF117C" w:rsidRDefault="00EF117C" w:rsidP="00EF117C">
      <w:bookmarkStart w:id="217" w:name="_Hlk230335066"/>
      <w:bookmarkStart w:id="218" w:name="_Hlk198745774"/>
      <w:r>
        <w:t>ФИО:</w:t>
      </w:r>
      <w:r>
        <w:rPr>
          <w:rStyle w:val="Subst"/>
        </w:rPr>
        <w:t xml:space="preserve"> Новак Александр Валентинович </w:t>
      </w:r>
    </w:p>
    <w:p w:rsidR="00EF117C" w:rsidRDefault="00EF117C" w:rsidP="00EF117C">
      <w:pPr>
        <w:jc w:val="center"/>
        <w:rPr>
          <w:b/>
        </w:rPr>
      </w:pPr>
      <w:r w:rsidRPr="00F84BB1">
        <w:rPr>
          <w:b/>
        </w:rPr>
        <w:t>…</w:t>
      </w:r>
    </w:p>
    <w:p w:rsidR="00EF117C" w:rsidRDefault="00EF117C" w:rsidP="00EF117C">
      <w:pPr>
        <w:spacing w:before="0" w:after="0"/>
        <w:ind w:left="198"/>
        <w:jc w:val="both"/>
      </w:pPr>
    </w:p>
    <w:p w:rsidR="00EF117C" w:rsidRDefault="00EF117C" w:rsidP="00EF117C">
      <w:pPr>
        <w:spacing w:before="0" w:after="0"/>
        <w:jc w:val="both"/>
      </w:pPr>
      <w:r>
        <w:t xml:space="preserve">Сведения об участии (член комитета, председатель комитета) членов совета директоров (наблюдательного совета) в работе комитета по аудиту: </w:t>
      </w:r>
    </w:p>
    <w:p w:rsidR="00EF117C" w:rsidRDefault="00EF117C" w:rsidP="00EF117C">
      <w:pPr>
        <w:ind w:firstLine="200"/>
        <w:jc w:val="both"/>
        <w:rPr>
          <w:rStyle w:val="Subst"/>
        </w:rPr>
      </w:pPr>
      <w:r>
        <w:rPr>
          <w:rStyle w:val="Subst"/>
        </w:rPr>
        <w:t>Член совета директоров (наблюдательного совета) не участвует в работе комитета совета директоров (наблюдательного совета) по аудиту.</w:t>
      </w:r>
    </w:p>
    <w:p w:rsidR="00EF117C" w:rsidRDefault="00EF117C" w:rsidP="00EF117C">
      <w:pPr>
        <w:spacing w:before="0" w:after="0"/>
        <w:ind w:firstLine="198"/>
        <w:jc w:val="both"/>
      </w:pPr>
    </w:p>
    <w:p w:rsidR="00EF117C" w:rsidRDefault="00EF117C" w:rsidP="00EF117C">
      <w:pPr>
        <w:pStyle w:val="SubHeading"/>
        <w:spacing w:before="0" w:after="0"/>
        <w:jc w:val="both"/>
      </w:pPr>
      <w:r>
        <w:t>Сведения об участии (член комитета, председатель комитета) в работе комитетов совета директоров (наблюдательного совета):</w:t>
      </w:r>
    </w:p>
    <w:p w:rsidR="00EF117C" w:rsidRDefault="00EF117C" w:rsidP="00EF117C">
      <w:pPr>
        <w:ind w:firstLine="200"/>
        <w:jc w:val="both"/>
      </w:pPr>
      <w:r>
        <w:rPr>
          <w:rStyle w:val="Subst"/>
        </w:rPr>
        <w:t>Член совета директоров (наблюдательного совета) не участвует в работе комитетов совета директоров (наблюдательного совета).</w:t>
      </w:r>
      <w:bookmarkEnd w:id="216"/>
      <w:bookmarkEnd w:id="217"/>
    </w:p>
    <w:p w:rsidR="00EF117C" w:rsidRDefault="00EF117C" w:rsidP="00EF117C">
      <w:pPr>
        <w:spacing w:before="120"/>
        <w:rPr>
          <w:b/>
          <w:i/>
          <w:color w:val="000000"/>
        </w:rPr>
      </w:pPr>
    </w:p>
    <w:p w:rsidR="00EF117C" w:rsidRDefault="00EF117C" w:rsidP="00EF117C">
      <w:pPr>
        <w:rPr>
          <w:b/>
          <w:i/>
          <w:color w:val="000000"/>
        </w:rPr>
      </w:pPr>
    </w:p>
    <w:p w:rsidR="00EF117C" w:rsidRDefault="00EF117C" w:rsidP="00EF117C">
      <w:bookmarkStart w:id="219" w:name="_Hlk230335095"/>
      <w:r>
        <w:t>ФИО:</w:t>
      </w:r>
      <w:r>
        <w:rPr>
          <w:rStyle w:val="Subst"/>
        </w:rPr>
        <w:t xml:space="preserve"> Патрушев Дмитрий Николаевич</w:t>
      </w:r>
    </w:p>
    <w:p w:rsidR="00EF117C" w:rsidRDefault="00EF117C" w:rsidP="00EF117C">
      <w:pPr>
        <w:jc w:val="both"/>
      </w:pPr>
    </w:p>
    <w:p w:rsidR="00EF117C" w:rsidRDefault="00EF117C" w:rsidP="00EF117C">
      <w:pPr>
        <w:jc w:val="center"/>
        <w:rPr>
          <w:b/>
        </w:rPr>
      </w:pPr>
      <w:r w:rsidRPr="00F84BB1">
        <w:rPr>
          <w:b/>
        </w:rPr>
        <w:t>…</w:t>
      </w:r>
    </w:p>
    <w:p w:rsidR="00EF117C" w:rsidRDefault="00EF117C" w:rsidP="00EF117C">
      <w:pPr>
        <w:jc w:val="both"/>
      </w:pPr>
    </w:p>
    <w:p w:rsidR="00EF117C" w:rsidRDefault="00EF117C" w:rsidP="00EF117C">
      <w:pPr>
        <w:jc w:val="both"/>
      </w:pPr>
      <w:r>
        <w:t xml:space="preserve">Сведения об участии (член комитета, председатель комитета) членов совета директоров (наблюдательного совета) в работе комитета по аудиту: </w:t>
      </w:r>
    </w:p>
    <w:p w:rsidR="00EF117C" w:rsidRDefault="00EF117C" w:rsidP="00EF117C">
      <w:pPr>
        <w:ind w:firstLine="200"/>
        <w:jc w:val="both"/>
      </w:pPr>
      <w:r>
        <w:rPr>
          <w:rStyle w:val="Subst"/>
        </w:rPr>
        <w:t>Член совета директоров (наблюдательного совета) не участвует в работе комитета совета директоров (наблюдательного совета) по аудиту.</w:t>
      </w:r>
    </w:p>
    <w:p w:rsidR="00EF117C" w:rsidRDefault="00EF117C" w:rsidP="00EF117C">
      <w:pPr>
        <w:pStyle w:val="SubHeading"/>
        <w:jc w:val="both"/>
      </w:pPr>
      <w:r>
        <w:t>Сведения об участии (член комитета, председатель комитета) в работе комитетов совета директоров (наблюдательного совета):</w:t>
      </w:r>
    </w:p>
    <w:p w:rsidR="00EF117C" w:rsidRDefault="00EF117C" w:rsidP="00EF117C">
      <w:pPr>
        <w:ind w:firstLine="200"/>
        <w:jc w:val="both"/>
      </w:pPr>
      <w:r>
        <w:rPr>
          <w:rStyle w:val="Subst"/>
        </w:rPr>
        <w:t>Член совета директоров (наблюдательного совета) не участвует в работе комитетов совета директоров (наблюдательного совета).</w:t>
      </w:r>
      <w:bookmarkEnd w:id="219"/>
    </w:p>
    <w:p w:rsidR="00EF117C" w:rsidRDefault="00EF117C" w:rsidP="00EF117C">
      <w:pPr>
        <w:spacing w:before="0" w:after="0"/>
        <w:ind w:left="198"/>
      </w:pPr>
    </w:p>
    <w:p w:rsidR="00EF117C" w:rsidRDefault="00EF117C" w:rsidP="00EF117C">
      <w:pPr>
        <w:ind w:left="200"/>
      </w:pPr>
    </w:p>
    <w:p w:rsidR="00EF117C" w:rsidRDefault="00EF117C" w:rsidP="00EF117C">
      <w:bookmarkStart w:id="220" w:name="_Hlk230335127"/>
      <w:r>
        <w:t>ФИО:</w:t>
      </w:r>
      <w:r>
        <w:rPr>
          <w:rStyle w:val="Subst"/>
        </w:rPr>
        <w:t xml:space="preserve"> Середа Михаил Леонидович</w:t>
      </w:r>
    </w:p>
    <w:p w:rsidR="00EF117C" w:rsidRDefault="00EF117C" w:rsidP="00EF117C">
      <w:pPr>
        <w:spacing w:before="0" w:after="0"/>
        <w:jc w:val="both"/>
      </w:pPr>
    </w:p>
    <w:p w:rsidR="00EF117C" w:rsidRDefault="00EF117C" w:rsidP="00EF117C">
      <w:pPr>
        <w:jc w:val="center"/>
        <w:rPr>
          <w:b/>
        </w:rPr>
      </w:pPr>
      <w:r w:rsidRPr="00F84BB1">
        <w:rPr>
          <w:b/>
        </w:rPr>
        <w:t>…</w:t>
      </w:r>
    </w:p>
    <w:p w:rsidR="00EF117C" w:rsidRDefault="00EF117C" w:rsidP="00EF117C">
      <w:pPr>
        <w:spacing w:before="0" w:after="0"/>
        <w:jc w:val="both"/>
      </w:pPr>
    </w:p>
    <w:p w:rsidR="00EF117C" w:rsidRDefault="00EF117C" w:rsidP="00EF117C">
      <w:pPr>
        <w:jc w:val="both"/>
      </w:pPr>
      <w:r>
        <w:t xml:space="preserve">Сведения об участии (член комитета, председатель комитета) членов совета директоров (наблюдательного совета) в работе комитета по аудиту: </w:t>
      </w:r>
    </w:p>
    <w:tbl>
      <w:tblPr>
        <w:tblW w:w="9097" w:type="dxa"/>
        <w:tblInd w:w="72"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CellMar>
          <w:left w:w="72" w:type="dxa"/>
          <w:right w:w="72" w:type="dxa"/>
        </w:tblCellMar>
        <w:tblLook w:val="04A0" w:firstRow="1" w:lastRow="0" w:firstColumn="1" w:lastColumn="0" w:noHBand="0" w:noVBand="1"/>
      </w:tblPr>
      <w:tblGrid>
        <w:gridCol w:w="7153"/>
        <w:gridCol w:w="1944"/>
      </w:tblGrid>
      <w:tr w:rsidR="00EF117C" w:rsidTr="009D5699">
        <w:tc>
          <w:tcPr>
            <w:tcW w:w="7153" w:type="dxa"/>
            <w:tcBorders>
              <w:top w:val="single" w:sz="4" w:space="0" w:color="000000"/>
              <w:bottom w:val="single" w:sz="4" w:space="0" w:color="000000"/>
            </w:tcBorders>
          </w:tcPr>
          <w:p w:rsidR="00EF117C" w:rsidRDefault="00EF117C" w:rsidP="009D5699">
            <w:pPr>
              <w:jc w:val="center"/>
            </w:pPr>
            <w:r>
              <w:t>Наименование комитета</w:t>
            </w:r>
          </w:p>
        </w:tc>
        <w:tc>
          <w:tcPr>
            <w:tcW w:w="1944" w:type="dxa"/>
            <w:tcBorders>
              <w:top w:val="single" w:sz="4" w:space="0" w:color="000000"/>
              <w:bottom w:val="single" w:sz="4" w:space="0" w:color="000000"/>
            </w:tcBorders>
          </w:tcPr>
          <w:p w:rsidR="00EF117C" w:rsidRDefault="00EF117C" w:rsidP="009D5699">
            <w:pPr>
              <w:jc w:val="center"/>
            </w:pPr>
            <w:r>
              <w:t>Председатель</w:t>
            </w:r>
          </w:p>
        </w:tc>
      </w:tr>
      <w:tr w:rsidR="00EF117C" w:rsidTr="009D5699">
        <w:tc>
          <w:tcPr>
            <w:tcW w:w="7153" w:type="dxa"/>
            <w:tcBorders>
              <w:top w:val="single" w:sz="4" w:space="0" w:color="000000"/>
            </w:tcBorders>
          </w:tcPr>
          <w:p w:rsidR="00EF117C" w:rsidRDefault="00EF117C" w:rsidP="009D5699">
            <w:r>
              <w:t>Комитет Совета директоров ПАО «Газпром» по аудиту</w:t>
            </w:r>
          </w:p>
        </w:tc>
        <w:tc>
          <w:tcPr>
            <w:tcW w:w="1944" w:type="dxa"/>
            <w:tcBorders>
              <w:top w:val="single" w:sz="4" w:space="0" w:color="000000"/>
            </w:tcBorders>
          </w:tcPr>
          <w:p w:rsidR="00EF117C" w:rsidRDefault="00EF117C" w:rsidP="009D5699">
            <w:pPr>
              <w:jc w:val="center"/>
            </w:pPr>
            <w:r>
              <w:t>Нет</w:t>
            </w:r>
          </w:p>
        </w:tc>
      </w:tr>
    </w:tbl>
    <w:p w:rsidR="00EF117C" w:rsidRDefault="00EF117C" w:rsidP="00EF117C">
      <w:pPr>
        <w:pStyle w:val="SubHeading"/>
        <w:jc w:val="both"/>
      </w:pPr>
      <w:r>
        <w:lastRenderedPageBreak/>
        <w:t>Сведения об участии (член комитета, председатель комитета) в работе комитетов совета директоров (наблюдательного совета):</w:t>
      </w:r>
    </w:p>
    <w:tbl>
      <w:tblPr>
        <w:tblW w:w="0" w:type="auto"/>
        <w:tblInd w:w="72"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CellMar>
          <w:left w:w="72" w:type="dxa"/>
          <w:right w:w="72" w:type="dxa"/>
        </w:tblCellMar>
        <w:tblLook w:val="04A0" w:firstRow="1" w:lastRow="0" w:firstColumn="1" w:lastColumn="0" w:noHBand="0" w:noVBand="1"/>
      </w:tblPr>
      <w:tblGrid>
        <w:gridCol w:w="7153"/>
        <w:gridCol w:w="1944"/>
      </w:tblGrid>
      <w:tr w:rsidR="00EF117C" w:rsidTr="009D5699">
        <w:tc>
          <w:tcPr>
            <w:tcW w:w="7153" w:type="dxa"/>
            <w:tcBorders>
              <w:top w:val="single" w:sz="4" w:space="0" w:color="000000"/>
              <w:bottom w:val="single" w:sz="4" w:space="0" w:color="000000"/>
            </w:tcBorders>
          </w:tcPr>
          <w:p w:rsidR="00EF117C" w:rsidRDefault="00EF117C" w:rsidP="009D5699">
            <w:pPr>
              <w:jc w:val="center"/>
            </w:pPr>
            <w:r>
              <w:t>Наименование комитета</w:t>
            </w:r>
          </w:p>
        </w:tc>
        <w:tc>
          <w:tcPr>
            <w:tcW w:w="1944" w:type="dxa"/>
            <w:tcBorders>
              <w:top w:val="single" w:sz="4" w:space="0" w:color="000000"/>
              <w:bottom w:val="single" w:sz="4" w:space="0" w:color="000000"/>
            </w:tcBorders>
          </w:tcPr>
          <w:p w:rsidR="00EF117C" w:rsidRDefault="00EF117C" w:rsidP="009D5699">
            <w:pPr>
              <w:jc w:val="center"/>
            </w:pPr>
            <w:r>
              <w:t>Председатель</w:t>
            </w:r>
          </w:p>
        </w:tc>
      </w:tr>
      <w:tr w:rsidR="00EF117C" w:rsidTr="009D5699">
        <w:tc>
          <w:tcPr>
            <w:tcW w:w="7153" w:type="dxa"/>
            <w:tcBorders>
              <w:top w:val="single" w:sz="4" w:space="0" w:color="000000"/>
            </w:tcBorders>
          </w:tcPr>
          <w:p w:rsidR="00EF117C" w:rsidRDefault="00EF117C" w:rsidP="009D5699">
            <w:r>
              <w:t>Комитет Совета директоров ПАО «Газпром» по назначениям и вознаграждениям</w:t>
            </w:r>
          </w:p>
        </w:tc>
        <w:tc>
          <w:tcPr>
            <w:tcW w:w="1944" w:type="dxa"/>
            <w:tcBorders>
              <w:top w:val="single" w:sz="4" w:space="0" w:color="000000"/>
            </w:tcBorders>
          </w:tcPr>
          <w:p w:rsidR="00EF117C" w:rsidRDefault="00EF117C" w:rsidP="009D5699">
            <w:pPr>
              <w:jc w:val="center"/>
            </w:pPr>
            <w:r>
              <w:t>Да</w:t>
            </w:r>
            <w:bookmarkEnd w:id="220"/>
          </w:p>
        </w:tc>
      </w:tr>
    </w:tbl>
    <w:p w:rsidR="00EF117C" w:rsidRDefault="00EF117C" w:rsidP="00EF117C">
      <w:pPr>
        <w:rPr>
          <w:b/>
          <w:i/>
          <w:color w:val="000000"/>
        </w:rPr>
      </w:pPr>
    </w:p>
    <w:p w:rsidR="00EF117C" w:rsidRDefault="00EF117C" w:rsidP="00EF117C">
      <w:pPr>
        <w:rPr>
          <w:b/>
          <w:i/>
          <w:color w:val="000000"/>
        </w:rPr>
      </w:pPr>
    </w:p>
    <w:p w:rsidR="00EF117C" w:rsidRDefault="00EF117C" w:rsidP="00EF117C">
      <w:pPr>
        <w:rPr>
          <w:b/>
          <w:i/>
          <w:color w:val="000000"/>
        </w:rPr>
      </w:pPr>
    </w:p>
    <w:p w:rsidR="00EF117C" w:rsidRDefault="00EF117C" w:rsidP="00EF117C">
      <w:bookmarkStart w:id="221" w:name="_Hlk230335159"/>
      <w:r>
        <w:t>ФИО:</w:t>
      </w:r>
      <w:r>
        <w:rPr>
          <w:rStyle w:val="Subst"/>
        </w:rPr>
        <w:t xml:space="preserve"> Цивилев Сергей Евгеньевич</w:t>
      </w:r>
    </w:p>
    <w:p w:rsidR="00EF117C" w:rsidRDefault="00EF117C" w:rsidP="00EF117C">
      <w:pPr>
        <w:jc w:val="both"/>
      </w:pPr>
    </w:p>
    <w:p w:rsidR="00EF117C" w:rsidRDefault="00EF117C" w:rsidP="00EF117C">
      <w:pPr>
        <w:jc w:val="center"/>
        <w:rPr>
          <w:b/>
        </w:rPr>
      </w:pPr>
      <w:r w:rsidRPr="00F84BB1">
        <w:rPr>
          <w:b/>
        </w:rPr>
        <w:t>…</w:t>
      </w:r>
    </w:p>
    <w:p w:rsidR="00EF117C" w:rsidRDefault="00EF117C" w:rsidP="00EF117C">
      <w:pPr>
        <w:jc w:val="both"/>
      </w:pPr>
    </w:p>
    <w:p w:rsidR="00EF117C" w:rsidRDefault="00EF117C" w:rsidP="00EF117C">
      <w:pPr>
        <w:spacing w:before="0" w:after="0"/>
        <w:jc w:val="both"/>
      </w:pPr>
      <w:r>
        <w:t xml:space="preserve">Сведения об участии (член комитета, председатель комитета) членов совета директоров (наблюдательного совета) в работе комитета по аудиту: </w:t>
      </w:r>
    </w:p>
    <w:p w:rsidR="00EF117C" w:rsidRDefault="00EF117C" w:rsidP="00EF117C">
      <w:pPr>
        <w:ind w:firstLine="200"/>
        <w:jc w:val="both"/>
      </w:pPr>
      <w:r>
        <w:rPr>
          <w:rStyle w:val="Subst"/>
        </w:rPr>
        <w:t>Член совета директоров (наблюдательного совета) не участвует в работе комитета совета директоров (наблюдательного совета) по аудиту.</w:t>
      </w:r>
    </w:p>
    <w:p w:rsidR="00EF117C" w:rsidRDefault="00EF117C" w:rsidP="00EF117C">
      <w:pPr>
        <w:pStyle w:val="SubHeading"/>
        <w:jc w:val="both"/>
      </w:pPr>
      <w:r>
        <w:t>Сведения об участии (член комитета, председатель комитета) в работе комитетов совета директоров (наблюдательного совета):</w:t>
      </w:r>
    </w:p>
    <w:tbl>
      <w:tblPr>
        <w:tblW w:w="9090" w:type="dxa"/>
        <w:tblInd w:w="72" w:type="dxa"/>
        <w:tblLayout w:type="fixed"/>
        <w:tblCellMar>
          <w:left w:w="72" w:type="dxa"/>
          <w:right w:w="72" w:type="dxa"/>
        </w:tblCellMar>
        <w:tblLook w:val="04A0" w:firstRow="1" w:lastRow="0" w:firstColumn="1" w:lastColumn="0" w:noHBand="0" w:noVBand="1"/>
      </w:tblPr>
      <w:tblGrid>
        <w:gridCol w:w="7436"/>
        <w:gridCol w:w="1654"/>
      </w:tblGrid>
      <w:tr w:rsidR="00EF117C" w:rsidTr="009D5699">
        <w:tc>
          <w:tcPr>
            <w:tcW w:w="7436" w:type="dxa"/>
            <w:tcBorders>
              <w:top w:val="single" w:sz="4" w:space="0" w:color="000000"/>
              <w:left w:val="single" w:sz="4" w:space="0" w:color="000000"/>
              <w:bottom w:val="single" w:sz="4" w:space="0" w:color="000000"/>
              <w:right w:val="single" w:sz="4" w:space="0" w:color="000000"/>
            </w:tcBorders>
          </w:tcPr>
          <w:p w:rsidR="00EF117C" w:rsidRDefault="00EF117C" w:rsidP="009D5699">
            <w:pPr>
              <w:jc w:val="center"/>
            </w:pPr>
            <w:r>
              <w:t>Наименование комитета</w:t>
            </w:r>
          </w:p>
        </w:tc>
        <w:tc>
          <w:tcPr>
            <w:tcW w:w="1654" w:type="dxa"/>
            <w:tcBorders>
              <w:top w:val="single" w:sz="4" w:space="0" w:color="000000"/>
              <w:left w:val="single" w:sz="4" w:space="0" w:color="000000"/>
              <w:bottom w:val="single" w:sz="4" w:space="0" w:color="000000"/>
              <w:right w:val="single" w:sz="4" w:space="0" w:color="000000"/>
            </w:tcBorders>
          </w:tcPr>
          <w:p w:rsidR="00EF117C" w:rsidRDefault="00EF117C" w:rsidP="009D5699">
            <w:pPr>
              <w:jc w:val="center"/>
            </w:pPr>
            <w:r>
              <w:t>Председатель</w:t>
            </w:r>
          </w:p>
        </w:tc>
      </w:tr>
      <w:tr w:rsidR="00EF117C" w:rsidTr="009D5699">
        <w:tc>
          <w:tcPr>
            <w:tcW w:w="7436" w:type="dxa"/>
            <w:tcBorders>
              <w:top w:val="single" w:sz="4" w:space="0" w:color="000000"/>
              <w:left w:val="single" w:sz="4" w:space="0" w:color="000000"/>
              <w:bottom w:val="single" w:sz="4" w:space="0" w:color="000000"/>
              <w:right w:val="single" w:sz="4" w:space="0" w:color="000000"/>
            </w:tcBorders>
          </w:tcPr>
          <w:p w:rsidR="00EF117C" w:rsidRDefault="00EF117C" w:rsidP="009D5699">
            <w:r>
              <w:t>Комитет Совета директоров ПАО «Газпром» по импортозамещению и технологическому развитию</w:t>
            </w:r>
          </w:p>
        </w:tc>
        <w:tc>
          <w:tcPr>
            <w:tcW w:w="1654" w:type="dxa"/>
            <w:tcBorders>
              <w:top w:val="single" w:sz="4" w:space="0" w:color="000000"/>
              <w:left w:val="single" w:sz="4" w:space="0" w:color="000000"/>
              <w:bottom w:val="single" w:sz="4" w:space="0" w:color="000000"/>
              <w:right w:val="single" w:sz="4" w:space="0" w:color="000000"/>
            </w:tcBorders>
          </w:tcPr>
          <w:p w:rsidR="00EF117C" w:rsidRDefault="00EF117C" w:rsidP="009D5699">
            <w:pPr>
              <w:jc w:val="center"/>
            </w:pPr>
            <w:r>
              <w:t>Нет</w:t>
            </w:r>
            <w:bookmarkStart w:id="222" w:name="_Hlk205888847"/>
            <w:bookmarkEnd w:id="221"/>
            <w:bookmarkEnd w:id="222"/>
          </w:p>
        </w:tc>
      </w:tr>
      <w:bookmarkEnd w:id="218"/>
    </w:tbl>
    <w:p w:rsidR="00EF117C" w:rsidRDefault="00EF117C" w:rsidP="00EF117C">
      <w:pPr>
        <w:rPr>
          <w:b/>
          <w:i/>
          <w:color w:val="000000"/>
        </w:rPr>
      </w:pPr>
    </w:p>
    <w:p w:rsidR="00EF117C" w:rsidRDefault="00EF117C" w:rsidP="00EF117C">
      <w:pPr>
        <w:rPr>
          <w:bCs/>
          <w:iCs/>
        </w:rPr>
      </w:pPr>
      <w:r>
        <w:rPr>
          <w:bCs/>
          <w:iCs/>
        </w:rPr>
        <w:t>Дополнительная информация для пп. 2.1.1</w:t>
      </w:r>
    </w:p>
    <w:p w:rsidR="00EF117C" w:rsidRDefault="00EF117C" w:rsidP="00EF117C">
      <w:pPr>
        <w:jc w:val="both"/>
        <w:rPr>
          <w:b/>
          <w:bCs/>
          <w:i/>
          <w:iCs/>
        </w:rPr>
      </w:pPr>
      <w:r>
        <w:rPr>
          <w:b/>
          <w:bCs/>
          <w:i/>
          <w:iCs/>
        </w:rPr>
        <w:t>В информации о занимаемых членами Совета директоров ПАО «Газпром» должностях в органах управления организаций указана дополнительно информация о должности по основному месту работы.</w:t>
      </w:r>
    </w:p>
    <w:p w:rsidR="00EF117C" w:rsidRDefault="00EF117C" w:rsidP="00EF117C">
      <w:pPr>
        <w:rPr>
          <w:b/>
          <w:i/>
          <w:color w:val="000000"/>
        </w:rPr>
      </w:pPr>
    </w:p>
    <w:p w:rsidR="00A02ECF" w:rsidRPr="00EF117C" w:rsidRDefault="00A02ECF">
      <w:pPr>
        <w:rPr>
          <w:b/>
          <w:color w:val="000000"/>
        </w:rPr>
      </w:pPr>
    </w:p>
    <w:p w:rsidR="00A02ECF" w:rsidRDefault="006104A2">
      <w:pPr>
        <w:pStyle w:val="2"/>
        <w:rPr>
          <w:bCs w:val="0"/>
          <w:color w:val="000000"/>
          <w:szCs w:val="20"/>
        </w:rPr>
      </w:pPr>
      <w:bookmarkStart w:id="223" w:name="_Toc230104323"/>
      <w:r>
        <w:rPr>
          <w:bCs w:val="0"/>
          <w:color w:val="000000"/>
          <w:szCs w:val="20"/>
        </w:rPr>
        <w:t>2.1.2. Информация о единоличном исполнительном органе эмитента</w:t>
      </w:r>
      <w:bookmarkEnd w:id="223"/>
    </w:p>
    <w:p w:rsidR="00A02ECF" w:rsidRDefault="00A02ECF"/>
    <w:p w:rsidR="00EF117C" w:rsidRDefault="00EF117C" w:rsidP="00EF117C">
      <w:r>
        <w:t>ФИО:</w:t>
      </w:r>
      <w:r>
        <w:rPr>
          <w:rStyle w:val="Subst"/>
        </w:rPr>
        <w:t xml:space="preserve"> Миллер Алексей Борисович</w:t>
      </w:r>
    </w:p>
    <w:p w:rsidR="00EF117C" w:rsidRDefault="00EF117C" w:rsidP="00EF117C">
      <w:pPr>
        <w:jc w:val="both"/>
      </w:pPr>
    </w:p>
    <w:p w:rsidR="00EF117C" w:rsidRDefault="00EF117C" w:rsidP="00EF117C">
      <w:pPr>
        <w:jc w:val="center"/>
        <w:rPr>
          <w:b/>
        </w:rPr>
      </w:pPr>
      <w:r w:rsidRPr="00F84BB1">
        <w:rPr>
          <w:b/>
        </w:rPr>
        <w:t>…</w:t>
      </w:r>
    </w:p>
    <w:p w:rsidR="00EF117C" w:rsidRDefault="00EF117C" w:rsidP="00EF117C">
      <w:pPr>
        <w:jc w:val="both"/>
      </w:pPr>
    </w:p>
    <w:p w:rsidR="00A02ECF" w:rsidRDefault="006104A2">
      <w:pPr>
        <w:pStyle w:val="2"/>
        <w:rPr>
          <w:bCs w:val="0"/>
          <w:color w:val="000000"/>
          <w:szCs w:val="20"/>
        </w:rPr>
      </w:pPr>
      <w:bookmarkStart w:id="224" w:name="_Toc230104324"/>
      <w:r>
        <w:rPr>
          <w:bCs w:val="0"/>
          <w:color w:val="000000"/>
          <w:szCs w:val="20"/>
        </w:rPr>
        <w:t>2.1.3. Состав коллегиального исполнительного органа эмитента</w:t>
      </w:r>
      <w:bookmarkEnd w:id="224"/>
    </w:p>
    <w:p w:rsidR="00A02ECF" w:rsidRDefault="00A02ECF"/>
    <w:p w:rsidR="00EF117C" w:rsidRDefault="00EF117C" w:rsidP="00EF117C">
      <w:bookmarkStart w:id="225" w:name="_Hlk143265114"/>
      <w:r>
        <w:t>ФИО:</w:t>
      </w:r>
      <w:r>
        <w:rPr>
          <w:rStyle w:val="Subst"/>
        </w:rPr>
        <w:t xml:space="preserve"> Миллер Алексей Борисович</w:t>
      </w:r>
    </w:p>
    <w:p w:rsidR="00EF117C" w:rsidRDefault="00EF117C" w:rsidP="00EF117C"/>
    <w:p w:rsidR="00EF117C" w:rsidRDefault="00EF117C" w:rsidP="00EF117C">
      <w:pPr>
        <w:jc w:val="center"/>
        <w:rPr>
          <w:b/>
        </w:rPr>
      </w:pPr>
      <w:r w:rsidRPr="00F84BB1">
        <w:rPr>
          <w:b/>
        </w:rPr>
        <w:t>…</w:t>
      </w:r>
    </w:p>
    <w:p w:rsidR="00EF117C" w:rsidRDefault="00EF117C" w:rsidP="00EF117C"/>
    <w:p w:rsidR="00EF117C" w:rsidRDefault="00EF117C" w:rsidP="00EF117C">
      <w:bookmarkStart w:id="226" w:name="_Hlk230336148"/>
      <w:bookmarkStart w:id="227" w:name="_Hlk176258601"/>
      <w:r>
        <w:t>ФИО:</w:t>
      </w:r>
      <w:r>
        <w:rPr>
          <w:rStyle w:val="Subst"/>
        </w:rPr>
        <w:t xml:space="preserve"> Аксютин Олег Евгеньевич</w:t>
      </w:r>
    </w:p>
    <w:bookmarkEnd w:id="226"/>
    <w:p w:rsidR="00EF117C" w:rsidRDefault="00EF117C" w:rsidP="00EF117C">
      <w:pPr>
        <w:spacing w:before="0"/>
      </w:pPr>
    </w:p>
    <w:p w:rsidR="00EF117C" w:rsidRDefault="00EF117C" w:rsidP="00EF117C">
      <w:pPr>
        <w:jc w:val="center"/>
        <w:rPr>
          <w:b/>
        </w:rPr>
      </w:pPr>
      <w:r w:rsidRPr="00F84BB1">
        <w:rPr>
          <w:b/>
        </w:rPr>
        <w:t>…</w:t>
      </w:r>
    </w:p>
    <w:p w:rsidR="00EF117C" w:rsidRDefault="00EF117C" w:rsidP="00EF117C"/>
    <w:p w:rsidR="00EF117C" w:rsidRDefault="00EF117C" w:rsidP="00EF117C">
      <w:pPr>
        <w:rPr>
          <w:b/>
          <w:bCs/>
        </w:rPr>
      </w:pPr>
      <w:bookmarkStart w:id="228" w:name="_Hlk230192458"/>
      <w:r>
        <w:t xml:space="preserve">ФИО: </w:t>
      </w:r>
      <w:r w:rsidRPr="004605FC">
        <w:rPr>
          <w:rStyle w:val="Subst"/>
        </w:rPr>
        <w:t>Илюхина</w:t>
      </w:r>
      <w:r w:rsidRPr="004605FC">
        <w:rPr>
          <w:bCs/>
          <w:iCs/>
        </w:rPr>
        <w:t xml:space="preserve"> </w:t>
      </w:r>
      <w:bookmarkStart w:id="229" w:name="_Hlk229053036"/>
      <w:r>
        <w:rPr>
          <w:b/>
          <w:bCs/>
          <w:i/>
          <w:iCs/>
        </w:rPr>
        <w:t>Елена Анатольевна</w:t>
      </w:r>
      <w:bookmarkEnd w:id="229"/>
    </w:p>
    <w:bookmarkEnd w:id="228"/>
    <w:p w:rsidR="00EF117C" w:rsidRDefault="00EF117C" w:rsidP="00EF117C"/>
    <w:p w:rsidR="00EF117C" w:rsidRDefault="00EF117C" w:rsidP="00EF117C">
      <w:pPr>
        <w:jc w:val="center"/>
        <w:rPr>
          <w:b/>
        </w:rPr>
      </w:pPr>
      <w:r w:rsidRPr="00F84BB1">
        <w:rPr>
          <w:b/>
        </w:rPr>
        <w:t>…</w:t>
      </w:r>
    </w:p>
    <w:p w:rsidR="00EF117C" w:rsidRDefault="00EF117C" w:rsidP="00EF117C"/>
    <w:p w:rsidR="00EF117C" w:rsidRDefault="00EF117C" w:rsidP="00EF117C">
      <w:bookmarkStart w:id="230" w:name="_Hlk230336219"/>
      <w:r>
        <w:t>ФИО:</w:t>
      </w:r>
      <w:r>
        <w:rPr>
          <w:b/>
          <w:bCs/>
          <w:i/>
          <w:iCs/>
        </w:rPr>
        <w:t xml:space="preserve"> Куприянов Сергей Владимирович</w:t>
      </w:r>
    </w:p>
    <w:bookmarkEnd w:id="230"/>
    <w:p w:rsidR="00EF117C" w:rsidRDefault="00EF117C" w:rsidP="00EF117C">
      <w:pPr>
        <w:spacing w:before="0" w:after="0"/>
      </w:pPr>
    </w:p>
    <w:p w:rsidR="00EF117C" w:rsidRDefault="00EF117C" w:rsidP="00EF117C">
      <w:pPr>
        <w:jc w:val="center"/>
        <w:rPr>
          <w:b/>
        </w:rPr>
      </w:pPr>
      <w:r w:rsidRPr="00F84BB1">
        <w:rPr>
          <w:b/>
        </w:rPr>
        <w:t>…</w:t>
      </w:r>
    </w:p>
    <w:p w:rsidR="00EF117C" w:rsidRDefault="00EF117C" w:rsidP="00EF117C">
      <w:pPr>
        <w:spacing w:before="0" w:after="0"/>
      </w:pPr>
    </w:p>
    <w:p w:rsidR="00EF117C" w:rsidRDefault="00EF117C" w:rsidP="00EF117C">
      <w:pPr>
        <w:spacing w:before="0" w:after="0"/>
      </w:pPr>
    </w:p>
    <w:p w:rsidR="00EF117C" w:rsidRDefault="00EF117C" w:rsidP="00EF117C">
      <w:r>
        <w:t>ФИО:</w:t>
      </w:r>
      <w:r>
        <w:rPr>
          <w:rStyle w:val="Subst"/>
        </w:rPr>
        <w:t xml:space="preserve"> Маркелов Виталий Анатольевич</w:t>
      </w:r>
    </w:p>
    <w:p w:rsidR="00EF117C" w:rsidRDefault="00EF117C" w:rsidP="00EF117C">
      <w:pPr>
        <w:spacing w:before="0" w:after="0"/>
      </w:pPr>
    </w:p>
    <w:p w:rsidR="00EF117C" w:rsidRDefault="00EF117C" w:rsidP="00EF117C">
      <w:pPr>
        <w:jc w:val="center"/>
        <w:rPr>
          <w:b/>
        </w:rPr>
      </w:pPr>
      <w:r w:rsidRPr="00F84BB1">
        <w:rPr>
          <w:b/>
        </w:rPr>
        <w:t>…</w:t>
      </w:r>
    </w:p>
    <w:p w:rsidR="00EF117C" w:rsidRDefault="00EF117C" w:rsidP="00EF117C">
      <w:pPr>
        <w:spacing w:before="0" w:after="0"/>
      </w:pPr>
    </w:p>
    <w:p w:rsidR="00EF117C" w:rsidRDefault="00EF117C" w:rsidP="00EF117C">
      <w:pPr>
        <w:spacing w:before="0" w:after="0"/>
      </w:pPr>
    </w:p>
    <w:p w:rsidR="00EF117C" w:rsidRDefault="00EF117C" w:rsidP="00EF117C">
      <w:bookmarkStart w:id="231" w:name="_Hlk230336255"/>
      <w:bookmarkStart w:id="232" w:name="_Hlk196475093"/>
      <w:r>
        <w:t>ФИО:</w:t>
      </w:r>
      <w:r>
        <w:rPr>
          <w:rStyle w:val="Subst"/>
        </w:rPr>
        <w:t xml:space="preserve"> Путин Михаил Евгеньевич</w:t>
      </w:r>
    </w:p>
    <w:bookmarkEnd w:id="227"/>
    <w:bookmarkEnd w:id="231"/>
    <w:p w:rsidR="00EF117C" w:rsidRDefault="00EF117C" w:rsidP="00EF117C"/>
    <w:p w:rsidR="00EF117C" w:rsidRDefault="00EF117C" w:rsidP="00EF117C">
      <w:pPr>
        <w:jc w:val="center"/>
        <w:rPr>
          <w:b/>
        </w:rPr>
      </w:pPr>
      <w:r w:rsidRPr="00F84BB1">
        <w:rPr>
          <w:b/>
        </w:rPr>
        <w:t>…</w:t>
      </w:r>
    </w:p>
    <w:p w:rsidR="00EF117C" w:rsidRDefault="00EF117C" w:rsidP="00EF117C"/>
    <w:p w:rsidR="00EF117C" w:rsidRDefault="00EF117C" w:rsidP="00EF117C">
      <w:bookmarkStart w:id="233" w:name="_Hlk230336282"/>
      <w:r>
        <w:t>ФИО:</w:t>
      </w:r>
      <w:r>
        <w:rPr>
          <w:rStyle w:val="Subst"/>
        </w:rPr>
        <w:t xml:space="preserve"> Россеев Михаил Николаевич</w:t>
      </w:r>
    </w:p>
    <w:bookmarkEnd w:id="233"/>
    <w:p w:rsidR="00EF117C" w:rsidRDefault="00EF117C" w:rsidP="00EF117C">
      <w:pPr>
        <w:jc w:val="both"/>
      </w:pPr>
    </w:p>
    <w:p w:rsidR="00EF117C" w:rsidRDefault="00EF117C" w:rsidP="00EF117C">
      <w:pPr>
        <w:jc w:val="center"/>
        <w:rPr>
          <w:b/>
        </w:rPr>
      </w:pPr>
      <w:r w:rsidRPr="00F84BB1">
        <w:rPr>
          <w:b/>
        </w:rPr>
        <w:t>…</w:t>
      </w:r>
    </w:p>
    <w:p w:rsidR="00EF117C" w:rsidRDefault="00EF117C" w:rsidP="00EF117C">
      <w:pPr>
        <w:jc w:val="both"/>
      </w:pPr>
    </w:p>
    <w:p w:rsidR="00EF117C" w:rsidRDefault="00EF117C" w:rsidP="00EF117C">
      <w:bookmarkStart w:id="234" w:name="_Hlk230336312"/>
      <w:bookmarkStart w:id="235" w:name="_Hlk131149583"/>
      <w:r>
        <w:t>ФИО:</w:t>
      </w:r>
      <w:r>
        <w:rPr>
          <w:rStyle w:val="Subst"/>
        </w:rPr>
        <w:t xml:space="preserve"> Садыгов Фамил Камиль Оглы</w:t>
      </w:r>
    </w:p>
    <w:bookmarkEnd w:id="232"/>
    <w:bookmarkEnd w:id="234"/>
    <w:p w:rsidR="00EF117C" w:rsidRDefault="00EF117C" w:rsidP="00EF117C">
      <w:pPr>
        <w:spacing w:before="0" w:after="0"/>
      </w:pPr>
    </w:p>
    <w:p w:rsidR="00EF117C" w:rsidRDefault="00EF117C" w:rsidP="00EF117C">
      <w:pPr>
        <w:jc w:val="center"/>
        <w:rPr>
          <w:b/>
        </w:rPr>
      </w:pPr>
      <w:r w:rsidRPr="00F84BB1">
        <w:rPr>
          <w:b/>
        </w:rPr>
        <w:t>…</w:t>
      </w:r>
    </w:p>
    <w:p w:rsidR="00EF117C" w:rsidRDefault="00EF117C" w:rsidP="00EF117C">
      <w:pPr>
        <w:spacing w:before="0" w:after="0"/>
      </w:pPr>
    </w:p>
    <w:p w:rsidR="00EF117C" w:rsidRDefault="00EF117C" w:rsidP="00EF117C">
      <w:bookmarkStart w:id="236" w:name="_Hlk230336343"/>
      <w:bookmarkStart w:id="237" w:name="_Hlk132127734"/>
      <w:r>
        <w:t>ФИО:</w:t>
      </w:r>
      <w:r>
        <w:rPr>
          <w:rStyle w:val="Subst"/>
        </w:rPr>
        <w:t xml:space="preserve"> Хомяков Сергей Федорович</w:t>
      </w:r>
    </w:p>
    <w:bookmarkEnd w:id="235"/>
    <w:bookmarkEnd w:id="236"/>
    <w:p w:rsidR="00EF117C" w:rsidRDefault="00EF117C" w:rsidP="00EF117C">
      <w:pPr>
        <w:jc w:val="both"/>
      </w:pPr>
    </w:p>
    <w:p w:rsidR="00EF117C" w:rsidRDefault="00EF117C" w:rsidP="00EF117C">
      <w:pPr>
        <w:jc w:val="center"/>
        <w:rPr>
          <w:b/>
        </w:rPr>
      </w:pPr>
      <w:r w:rsidRPr="00F84BB1">
        <w:rPr>
          <w:b/>
        </w:rPr>
        <w:t>…</w:t>
      </w:r>
    </w:p>
    <w:p w:rsidR="00EF117C" w:rsidRDefault="00EF117C" w:rsidP="00EF117C">
      <w:pPr>
        <w:spacing w:before="0" w:after="0"/>
        <w:ind w:left="198"/>
      </w:pPr>
    </w:p>
    <w:p w:rsidR="00EF117C" w:rsidRDefault="00EF117C" w:rsidP="00EF117C">
      <w:bookmarkStart w:id="238" w:name="_Hlk230336376"/>
      <w:r>
        <w:t>ФИО:</w:t>
      </w:r>
      <w:r>
        <w:rPr>
          <w:rStyle w:val="Subst"/>
        </w:rPr>
        <w:t xml:space="preserve"> Кузнец Сергей Иванович</w:t>
      </w:r>
    </w:p>
    <w:bookmarkEnd w:id="237"/>
    <w:bookmarkEnd w:id="238"/>
    <w:p w:rsidR="00EF117C" w:rsidRDefault="00EF117C" w:rsidP="00EF117C">
      <w:pPr>
        <w:jc w:val="both"/>
      </w:pPr>
    </w:p>
    <w:p w:rsidR="00EF117C" w:rsidRDefault="00EF117C" w:rsidP="00EF117C">
      <w:pPr>
        <w:jc w:val="center"/>
        <w:rPr>
          <w:b/>
        </w:rPr>
      </w:pPr>
      <w:r w:rsidRPr="00F84BB1">
        <w:rPr>
          <w:b/>
        </w:rPr>
        <w:t>…</w:t>
      </w:r>
    </w:p>
    <w:p w:rsidR="00EF117C" w:rsidRDefault="00EF117C" w:rsidP="00EF117C">
      <w:pPr>
        <w:ind w:left="200"/>
      </w:pPr>
    </w:p>
    <w:p w:rsidR="00EF117C" w:rsidRDefault="00EF117C" w:rsidP="00EF117C">
      <w:bookmarkStart w:id="239" w:name="_Hlk230336405"/>
      <w:r>
        <w:t>ФИО:</w:t>
      </w:r>
      <w:r>
        <w:rPr>
          <w:rStyle w:val="Subst"/>
        </w:rPr>
        <w:t xml:space="preserve"> Марков Владимир Константинович</w:t>
      </w:r>
    </w:p>
    <w:bookmarkEnd w:id="239"/>
    <w:p w:rsidR="00EF117C" w:rsidRDefault="00EF117C" w:rsidP="00EF117C">
      <w:pPr>
        <w:spacing w:before="0" w:after="0"/>
        <w:jc w:val="both"/>
        <w:rPr>
          <w:bCs/>
          <w:iCs/>
        </w:rPr>
      </w:pPr>
    </w:p>
    <w:p w:rsidR="00EF117C" w:rsidRDefault="00EF117C" w:rsidP="00EF117C">
      <w:pPr>
        <w:jc w:val="center"/>
        <w:rPr>
          <w:b/>
        </w:rPr>
      </w:pPr>
      <w:r w:rsidRPr="00F84BB1">
        <w:rPr>
          <w:b/>
        </w:rPr>
        <w:t>…</w:t>
      </w:r>
    </w:p>
    <w:p w:rsidR="00EF117C" w:rsidRDefault="00EF117C" w:rsidP="00EF117C">
      <w:pPr>
        <w:spacing w:before="0" w:after="0"/>
        <w:jc w:val="both"/>
        <w:rPr>
          <w:bCs/>
          <w:iCs/>
        </w:rPr>
      </w:pPr>
    </w:p>
    <w:p w:rsidR="00EF117C" w:rsidRDefault="00EF117C" w:rsidP="00EF117C">
      <w:bookmarkStart w:id="240" w:name="_Hlk230336435"/>
      <w:r>
        <w:t>ФИО:</w:t>
      </w:r>
      <w:r>
        <w:rPr>
          <w:rStyle w:val="Subst"/>
        </w:rPr>
        <w:t xml:space="preserve"> Меньшиков Сергей Николаевич</w:t>
      </w:r>
    </w:p>
    <w:bookmarkEnd w:id="240"/>
    <w:p w:rsidR="00EF117C" w:rsidRDefault="00EF117C" w:rsidP="00EF117C">
      <w:pPr>
        <w:spacing w:before="0" w:after="0"/>
        <w:jc w:val="both"/>
      </w:pPr>
    </w:p>
    <w:p w:rsidR="00EF117C" w:rsidRDefault="00EF117C" w:rsidP="00EF117C">
      <w:pPr>
        <w:jc w:val="center"/>
        <w:rPr>
          <w:b/>
        </w:rPr>
      </w:pPr>
      <w:r w:rsidRPr="00F84BB1">
        <w:rPr>
          <w:b/>
        </w:rPr>
        <w:t>…</w:t>
      </w:r>
    </w:p>
    <w:p w:rsidR="00EF117C" w:rsidRDefault="00EF117C" w:rsidP="00EF117C">
      <w:pPr>
        <w:spacing w:before="0" w:after="0"/>
      </w:pPr>
    </w:p>
    <w:p w:rsidR="00EF117C" w:rsidRDefault="00EF117C" w:rsidP="00EF117C">
      <w:bookmarkStart w:id="241" w:name="_Hlk230336468"/>
      <w:r>
        <w:t>ФИО:</w:t>
      </w:r>
      <w:r>
        <w:rPr>
          <w:rStyle w:val="Subst"/>
        </w:rPr>
        <w:t xml:space="preserve"> Михаленко Вячеслав Александрович</w:t>
      </w:r>
    </w:p>
    <w:bookmarkEnd w:id="241"/>
    <w:p w:rsidR="00EF117C" w:rsidRDefault="00EF117C" w:rsidP="00EF117C">
      <w:pPr>
        <w:ind w:left="200"/>
      </w:pPr>
    </w:p>
    <w:p w:rsidR="00EF117C" w:rsidRDefault="00EF117C" w:rsidP="00EF117C">
      <w:pPr>
        <w:jc w:val="center"/>
        <w:rPr>
          <w:b/>
        </w:rPr>
      </w:pPr>
      <w:r w:rsidRPr="00F84BB1">
        <w:rPr>
          <w:b/>
        </w:rPr>
        <w:t>…</w:t>
      </w:r>
    </w:p>
    <w:p w:rsidR="00EF117C" w:rsidRDefault="00EF117C" w:rsidP="00EF117C">
      <w:pPr>
        <w:ind w:left="200"/>
      </w:pPr>
    </w:p>
    <w:p w:rsidR="00EF117C" w:rsidRDefault="00EF117C" w:rsidP="00EF117C">
      <w:bookmarkStart w:id="242" w:name="_Hlk230336499"/>
      <w:r>
        <w:t>ФИО:</w:t>
      </w:r>
      <w:r>
        <w:rPr>
          <w:rStyle w:val="Subst"/>
        </w:rPr>
        <w:t xml:space="preserve"> Симдякин Вадим Михайлович </w:t>
      </w:r>
    </w:p>
    <w:bookmarkEnd w:id="242"/>
    <w:p w:rsidR="00EF117C" w:rsidRDefault="00EF117C" w:rsidP="00EF117C">
      <w:pPr>
        <w:jc w:val="center"/>
        <w:rPr>
          <w:b/>
        </w:rPr>
      </w:pPr>
      <w:r w:rsidRPr="00F84BB1">
        <w:rPr>
          <w:b/>
        </w:rPr>
        <w:t>…</w:t>
      </w:r>
    </w:p>
    <w:p w:rsidR="00EF117C" w:rsidRDefault="00EF117C" w:rsidP="00EF117C">
      <w:pPr>
        <w:ind w:firstLine="200"/>
        <w:jc w:val="both"/>
      </w:pPr>
    </w:p>
    <w:p w:rsidR="00A02ECF" w:rsidRDefault="00A02ECF">
      <w:pPr>
        <w:spacing w:before="0" w:after="0"/>
        <w:jc w:val="both"/>
      </w:pPr>
    </w:p>
    <w:p w:rsidR="00A02ECF" w:rsidRDefault="006104A2">
      <w:pPr>
        <w:pStyle w:val="2"/>
        <w:jc w:val="both"/>
        <w:rPr>
          <w:bCs w:val="0"/>
          <w:color w:val="000000"/>
          <w:szCs w:val="20"/>
        </w:rPr>
      </w:pPr>
      <w:bookmarkStart w:id="243" w:name="_Toc230104325"/>
      <w:bookmarkEnd w:id="225"/>
      <w:r>
        <w:rPr>
          <w:bCs w:val="0"/>
          <w:color w:val="000000"/>
          <w:szCs w:val="20"/>
        </w:rPr>
        <w:t>2.2. Сведения о политике в области вознаграждения и (или) компенсации расходов, а также о размере вознаграждения и (или) компенсации расходов по каждому органу управления эмитента</w:t>
      </w:r>
      <w:bookmarkEnd w:id="243"/>
    </w:p>
    <w:p w:rsidR="00A02ECF" w:rsidRDefault="006104A2">
      <w:pPr>
        <w:pStyle w:val="SubHeading"/>
        <w:spacing w:before="0" w:after="0"/>
        <w:jc w:val="both"/>
      </w:pPr>
      <w:r>
        <w:t>Основные положения политики в области вознаграждения и (или) компенсации расходов членов органов управления эмитента.</w:t>
      </w:r>
    </w:p>
    <w:p w:rsidR="00A02ECF" w:rsidRDefault="006104A2">
      <w:pPr>
        <w:pStyle w:val="SubHeading"/>
        <w:spacing w:before="120" w:after="0"/>
        <w:jc w:val="both"/>
        <w:rPr>
          <w:b/>
          <w:u w:val="single"/>
        </w:rPr>
      </w:pPr>
      <w:r>
        <w:rPr>
          <w:b/>
          <w:u w:val="single"/>
        </w:rPr>
        <w:t xml:space="preserve">Вознаграждение членов Совета директоров за участие в работе органа управления </w:t>
      </w:r>
    </w:p>
    <w:p w:rsidR="00A02ECF" w:rsidRDefault="006104A2">
      <w:pPr>
        <w:pStyle w:val="SubHeading"/>
        <w:spacing w:before="120" w:after="0"/>
        <w:jc w:val="both"/>
        <w:rPr>
          <w:b/>
          <w:i/>
        </w:rPr>
      </w:pPr>
      <w:r>
        <w:rPr>
          <w:b/>
          <w:i/>
        </w:rPr>
        <w:t xml:space="preserve">В соответствии с Положением о Совете директоров ПАО «Газпром», утвержденным годовым Общим собранием акционеров ПАО «Газпром» (протокол № 1 от 30 июня 2016 г.) и Уставом Компании по решению Общего собрания акционеров членам Совета директоров в период исполнения ими своих обязанностей могут выплачиваться вознаграждения и (или) компенсироваться расходы, связанные с исполнением ими функций членов Совета директоров. Члены Совета директоров, замещающие государственные должности и должности государственной гражданской службы, не получают </w:t>
      </w:r>
      <w:r>
        <w:rPr>
          <w:b/>
          <w:i/>
        </w:rPr>
        <w:lastRenderedPageBreak/>
        <w:t>вознаграждения от ПАО «Газпром».</w:t>
      </w:r>
    </w:p>
    <w:p w:rsidR="00A02ECF" w:rsidRDefault="006104A2">
      <w:pPr>
        <w:pStyle w:val="SubHeading"/>
        <w:spacing w:before="120" w:after="0"/>
        <w:jc w:val="both"/>
        <w:rPr>
          <w:b/>
          <w:i/>
        </w:rPr>
      </w:pPr>
      <w:r>
        <w:rPr>
          <w:b/>
          <w:i/>
        </w:rPr>
        <w:t>Решение о выплате вознаграждений принимается Общим собранием акционеров ПАО «Газпром» на основании рекомендаций Совета директоров ПАО «Газпром», подготовленных в соответствии с Положением о порядке определения размера вознаграждений членам Совета директоров ПАО «Газпром», утвержденным решением Совета директоров ОАО «Газпром» от 15.04.2015 № 2523 с учетом изменений, утвержденных решением от 20.08.2021 № 3635. Документ, в частности, определяет формулы расчета вознаграждений, выплачиваемых членам Совета директоров ПАО «Газпром», закрепляет условия и порядок их выплаты.</w:t>
      </w:r>
    </w:p>
    <w:p w:rsidR="00A02ECF" w:rsidRDefault="006104A2">
      <w:pPr>
        <w:pStyle w:val="SubHeading"/>
        <w:spacing w:before="120" w:after="0"/>
        <w:jc w:val="both"/>
        <w:rPr>
          <w:b/>
          <w:i/>
        </w:rPr>
      </w:pPr>
      <w:r>
        <w:rPr>
          <w:b/>
          <w:i/>
        </w:rPr>
        <w:t>В соответствии с Положением размер вознаграждения члену Совета директоров складывается из базовой, дополнительной и премиальной частей.</w:t>
      </w:r>
    </w:p>
    <w:p w:rsidR="00A02ECF" w:rsidRDefault="006104A2">
      <w:pPr>
        <w:pStyle w:val="SubHeading"/>
        <w:spacing w:before="120" w:after="0"/>
        <w:jc w:val="both"/>
        <w:rPr>
          <w:b/>
          <w:i/>
        </w:rPr>
      </w:pPr>
      <w:r>
        <w:rPr>
          <w:b/>
          <w:i/>
        </w:rPr>
        <w:t>Базовая часть вознаграждения выплачивается за осуществление полномочий члена Совета директоров Общества и является фиксированной. Ее размер рассчитывается с учетом среднего количества ежегодно рассматриваемых вопросов, уровня квалификации и объема ответственности директоров, обусловленных масштабами деятельности Общества.</w:t>
      </w:r>
    </w:p>
    <w:p w:rsidR="00A02ECF" w:rsidRDefault="006104A2">
      <w:pPr>
        <w:pStyle w:val="SubHeading"/>
        <w:spacing w:before="120" w:after="0"/>
        <w:jc w:val="both"/>
        <w:rPr>
          <w:b/>
          <w:i/>
        </w:rPr>
      </w:pPr>
      <w:r>
        <w:rPr>
          <w:b/>
          <w:i/>
        </w:rPr>
        <w:t>Дополнительная часть вознаграждения выплачивается за исполнение членом Совета директоров дополнительных обязанностей, связанных с исполнением функций Председателя Совета директоров, заместителя Председателя Совета директоров, работой в комитетах Совета директоров.</w:t>
      </w:r>
    </w:p>
    <w:p w:rsidR="00A02ECF" w:rsidRDefault="006104A2">
      <w:pPr>
        <w:pStyle w:val="SubHeading"/>
        <w:spacing w:before="120" w:after="0"/>
        <w:jc w:val="both"/>
        <w:rPr>
          <w:b/>
          <w:i/>
        </w:rPr>
      </w:pPr>
      <w:r>
        <w:rPr>
          <w:b/>
          <w:i/>
        </w:rPr>
        <w:t>Премиальная часть вознаграждения является переменной и определяется по результатам деятельности Общества за завершенный финансовый год с учетом достижения общекорпоративных КПЭ, определенных на дату окончания финансового года.</w:t>
      </w:r>
    </w:p>
    <w:p w:rsidR="00A02ECF" w:rsidRDefault="006104A2">
      <w:pPr>
        <w:pStyle w:val="SubHeading"/>
        <w:spacing w:before="120" w:after="0"/>
        <w:jc w:val="both"/>
        <w:rPr>
          <w:b/>
          <w:i/>
        </w:rPr>
      </w:pPr>
      <w:r>
        <w:rPr>
          <w:b/>
          <w:i/>
        </w:rPr>
        <w:t xml:space="preserve">Положением также предусмотрено, что Совет директоров может рекомендовать Общему собранию акционеров не выплачивать вознаграждения членам Совета директоров или выплатить вознаграждение меньше рассчитанной в соответствии с Положением величины, если в течение периода исполнения функций возникли события, которые нельзя было предвидеть, но которые оказали существенное влияние на результаты работы членов Совета директоров и (или) результаты деятельности Общества. </w:t>
      </w:r>
    </w:p>
    <w:p w:rsidR="00A02ECF" w:rsidRDefault="006104A2">
      <w:pPr>
        <w:pStyle w:val="SubHeading"/>
        <w:spacing w:before="120" w:after="0"/>
        <w:jc w:val="both"/>
        <w:rPr>
          <w:b/>
          <w:i/>
        </w:rPr>
      </w:pPr>
      <w:r>
        <w:rPr>
          <w:b/>
          <w:i/>
        </w:rPr>
        <w:t>В случае внесения на рассмотрение Совета директоров вопроса об отказе в одностороннем порядке от выплаты процентов по облигациям без определения срока их погашения, эмитентом которых является дочернее общество ПАО «Газпром», одновременно с принятием решения о таком отказе Совет директоров рассматривает вопрос о сокращении в полном объеме вознаграждений членам Совета директоров в году, в котором предусмотрен соответствующий отказ.</w:t>
      </w:r>
    </w:p>
    <w:p w:rsidR="00A02ECF" w:rsidRDefault="00A02ECF">
      <w:pPr>
        <w:pStyle w:val="SubHeading"/>
        <w:spacing w:before="0" w:after="0"/>
        <w:jc w:val="both"/>
        <w:rPr>
          <w:b/>
          <w:highlight w:val="cyan"/>
          <w:u w:val="single"/>
        </w:rPr>
      </w:pPr>
    </w:p>
    <w:p w:rsidR="00A02ECF" w:rsidRDefault="006104A2">
      <w:pPr>
        <w:pStyle w:val="SubHeading"/>
        <w:spacing w:before="120" w:after="0"/>
        <w:jc w:val="both"/>
        <w:rPr>
          <w:b/>
          <w:u w:val="single"/>
        </w:rPr>
      </w:pPr>
      <w:r>
        <w:rPr>
          <w:b/>
          <w:u w:val="single"/>
        </w:rPr>
        <w:t xml:space="preserve">Вознаграждение членов Правления и иных руководящих работников </w:t>
      </w:r>
    </w:p>
    <w:p w:rsidR="00A02ECF" w:rsidRDefault="006104A2">
      <w:pPr>
        <w:pStyle w:val="SubHeading"/>
        <w:spacing w:before="120" w:after="0"/>
        <w:jc w:val="both"/>
        <w:rPr>
          <w:b/>
          <w:i/>
        </w:rPr>
      </w:pPr>
      <w:bookmarkStart w:id="244" w:name="_Hlk132641400"/>
      <w:r>
        <w:rPr>
          <w:b/>
          <w:i/>
        </w:rPr>
        <w:t>Вознаграждение членов Правления ПАО «Газпром» (включая Председателя Правления ПАО «Газпром») и</w:t>
      </w:r>
      <w:r>
        <w:rPr>
          <w:b/>
          <w:i/>
          <w:lang w:val="en-US"/>
        </w:rPr>
        <w:t> </w:t>
      </w:r>
      <w:r>
        <w:rPr>
          <w:b/>
          <w:i/>
        </w:rPr>
        <w:t>иных руководящих работников Компании (в том числе вознаграждение руководящих работников ПАО «Газпром», одновременно осуществляющих функции членов Совета директоров Компании, в части, не связанной с их участием в работе Совета директоров) оговорено условиями трудовых контрактов и носит краткосрочный характер. Члены Правления не получают вознаграждение за участие в работе Правления ПАО «Газпром». Проводимая ПАО «Газпром» политика в области вознаграждения руководящих работников создает достаточную мотивацию для их эффективной работы. Значимым элементом системы вознаграждения руководящих работников ПАО «Газпром», включая членов Правления Компании, является Система годового бонуса руководящих работников ПАО «Газпром». Система годового бонуса распространяется на руководящих работников ПАО «Газпром» и его основных дочерних организаций по добыче, транспортировке, подземному хранению, переработке, реализации газа, а также по реализации приоритетных инвестиционных проектов. Размер годового бонуса руководящих работников зависит от результатов деятельности ПАО «Газпром» (выполнения общекорпоративных ключевых показателей эффективности (КПЭ)) и достижения индивидуальных целей (личного вклада руководящих работников).</w:t>
      </w:r>
    </w:p>
    <w:p w:rsidR="00A02ECF" w:rsidRDefault="006104A2">
      <w:pPr>
        <w:pStyle w:val="SubHeading"/>
        <w:spacing w:before="120" w:after="0"/>
        <w:jc w:val="both"/>
        <w:rPr>
          <w:b/>
          <w:i/>
        </w:rPr>
      </w:pPr>
      <w:r>
        <w:rPr>
          <w:b/>
          <w:i/>
        </w:rPr>
        <w:t>Годовой бонус членов Правления ПАО «Газпром» (за исключением Председателя Правления) складывается из двух частей: общекорпоративной (80 %) и индивидуальной (20</w:t>
      </w:r>
      <w:r>
        <w:t> </w:t>
      </w:r>
      <w:r>
        <w:rPr>
          <w:b/>
          <w:i/>
        </w:rPr>
        <w:t>%). Общекорпоративная часть зависит от результатов работы ПАО «Газпром», индивидуальная часть определяется в зависимости от выполнения индивидуальных целей. Годовой бонус Председателя Правления состоит только из</w:t>
      </w:r>
      <w:r>
        <w:rPr>
          <w:b/>
          <w:i/>
          <w:lang w:val="en-US"/>
        </w:rPr>
        <w:t> </w:t>
      </w:r>
      <w:r>
        <w:rPr>
          <w:b/>
          <w:i/>
        </w:rPr>
        <w:t>общекорпоративной части.</w:t>
      </w:r>
    </w:p>
    <w:p w:rsidR="00A02ECF" w:rsidRDefault="006104A2">
      <w:pPr>
        <w:pStyle w:val="SubHeading"/>
        <w:spacing w:before="120" w:after="0"/>
        <w:jc w:val="both"/>
        <w:rPr>
          <w:b/>
          <w:i/>
        </w:rPr>
      </w:pPr>
      <w:r>
        <w:rPr>
          <w:b/>
          <w:i/>
        </w:rPr>
        <w:t xml:space="preserve">Системой годового бонуса предусмотрена взаимосвязь размера вознаграждения с оценкой достижения общекорпоративных КПЭ. </w:t>
      </w:r>
    </w:p>
    <w:p w:rsidR="00A02ECF" w:rsidRDefault="006104A2">
      <w:pPr>
        <w:pStyle w:val="SubHeading"/>
        <w:spacing w:before="120" w:after="0"/>
        <w:jc w:val="both"/>
        <w:rPr>
          <w:b/>
          <w:i/>
        </w:rPr>
      </w:pPr>
      <w:r>
        <w:rPr>
          <w:b/>
          <w:i/>
        </w:rPr>
        <w:t xml:space="preserve">Общекорпоративные КПЭ отражают стратегические задачи Компании, включены в Долгосрочную </w:t>
      </w:r>
      <w:r>
        <w:rPr>
          <w:b/>
          <w:i/>
        </w:rPr>
        <w:lastRenderedPageBreak/>
        <w:t>программу развития и подлежат ежегодному утверждению Советом директоров.</w:t>
      </w:r>
    </w:p>
    <w:p w:rsidR="00A02ECF" w:rsidRDefault="006104A2">
      <w:pPr>
        <w:pStyle w:val="SubHeading"/>
        <w:spacing w:before="120" w:after="0"/>
        <w:jc w:val="both"/>
        <w:rPr>
          <w:b/>
          <w:i/>
        </w:rPr>
      </w:pPr>
      <w:r>
        <w:rPr>
          <w:b/>
          <w:i/>
        </w:rPr>
        <w:t>Для определения размеров фактических выплат к общекорпоративной и индивидуальным частям годового бонуса применяется общекорпоративный поправочный коэффициент, отражающий фактический уровень достижения КПЭ (ОПК).</w:t>
      </w:r>
    </w:p>
    <w:p w:rsidR="00A02ECF" w:rsidRDefault="006104A2">
      <w:pPr>
        <w:pStyle w:val="SubHeading"/>
        <w:spacing w:before="120" w:after="0"/>
        <w:jc w:val="both"/>
        <w:rPr>
          <w:b/>
          <w:i/>
        </w:rPr>
      </w:pPr>
      <w:r>
        <w:rPr>
          <w:b/>
          <w:i/>
        </w:rPr>
        <w:t xml:space="preserve">При невыполнении КПЭ размер годового бонуса снижается. Это обеспечивает персональную мотивацию руководящих работников к достижению КПЭ. </w:t>
      </w:r>
    </w:p>
    <w:p w:rsidR="00A02ECF" w:rsidRDefault="006104A2">
      <w:pPr>
        <w:pStyle w:val="SubHeading"/>
        <w:spacing w:before="120" w:after="0"/>
        <w:jc w:val="both"/>
        <w:rPr>
          <w:b/>
          <w:i/>
        </w:rPr>
      </w:pPr>
      <w:r>
        <w:rPr>
          <w:b/>
          <w:i/>
        </w:rPr>
        <w:t>В 2025 году был выплачен годовой бонус за 2024 год с учетом ОПК, равного 125,72 %.</w:t>
      </w:r>
      <w:bookmarkEnd w:id="244"/>
    </w:p>
    <w:p w:rsidR="00A02ECF" w:rsidRDefault="006104A2">
      <w:pPr>
        <w:pStyle w:val="SubHeading"/>
        <w:widowControl/>
        <w:spacing w:before="120" w:after="0"/>
        <w:jc w:val="both"/>
        <w:rPr>
          <w:color w:val="000000"/>
          <w:szCs w:val="28"/>
        </w:rPr>
      </w:pPr>
      <w:r>
        <w:rPr>
          <w:b/>
          <w:i/>
        </w:rPr>
        <w:t>С 2022 года решением Совета директоров в системе годового бонуса предусмотрен показатель депремирования за несвоевременную подготовку и реализацию планов по переходу на использование отечественного программного обеспечения.</w:t>
      </w:r>
    </w:p>
    <w:p w:rsidR="00A02ECF" w:rsidRDefault="006104A2">
      <w:pPr>
        <w:pStyle w:val="SubHeading"/>
        <w:spacing w:before="120" w:after="0"/>
        <w:jc w:val="both"/>
        <w:rPr>
          <w:b/>
          <w:i/>
          <w:highlight w:val="yellow"/>
        </w:rPr>
      </w:pPr>
      <w:r>
        <w:rPr>
          <w:b/>
          <w:i/>
          <w:highlight w:val="white"/>
        </w:rPr>
        <w:t>Также члены исполнительных органов управления ПАО «Газпром» и иные руководящие работники Компании имеют право на долгосрочные выплаты после окончания трудовой деятельности. Данные выплаты осуществляются в соответствии с правовыми и локальными нормативными актами ПАО «Газпром» в порядке, предусмотренном для всех работников Компании, и включают в себя негосударственное пенсионное обеспечение, осуществляемое АО «НПФ ГАЗФОНД», а также единовременные выплаты при выходе на пенсию и социальное обеспечение пенсионеров, осуществляемые ПАО «Газпром». Кроме того, Компания обеспечивает их добровольное медицинское страхование и</w:t>
      </w:r>
      <w:r>
        <w:rPr>
          <w:b/>
          <w:i/>
          <w:highlight w:val="white"/>
          <w:lang w:val="en-US"/>
        </w:rPr>
        <w:t> </w:t>
      </w:r>
      <w:r>
        <w:rPr>
          <w:b/>
          <w:i/>
          <w:highlight w:val="white"/>
        </w:rPr>
        <w:t>страхование ответственности.</w:t>
      </w:r>
    </w:p>
    <w:p w:rsidR="00A02ECF" w:rsidRDefault="00A02ECF">
      <w:pPr>
        <w:spacing w:before="0" w:after="0"/>
        <w:jc w:val="both"/>
        <w:rPr>
          <w:sz w:val="22"/>
        </w:rPr>
      </w:pPr>
    </w:p>
    <w:p w:rsidR="00A02ECF" w:rsidRDefault="00A02ECF">
      <w:pPr>
        <w:spacing w:before="0" w:after="0"/>
        <w:jc w:val="both"/>
        <w:rPr>
          <w:sz w:val="22"/>
        </w:rPr>
      </w:pPr>
    </w:p>
    <w:p w:rsidR="00A02ECF" w:rsidRDefault="006104A2">
      <w:pPr>
        <w:pStyle w:val="SubHeading"/>
        <w:spacing w:before="0" w:after="0"/>
        <w:jc w:val="both"/>
      </w:pPr>
      <w:r>
        <w:t>Сведения о размере вознаграждения по каждому из органов управления эмитента (за исключением физического лица, занимающего должность (осуществляющего функции) единоличного исполнительного органа эмитента).</w:t>
      </w:r>
    </w:p>
    <w:p w:rsidR="00A02ECF" w:rsidRDefault="006104A2">
      <w:pPr>
        <w:jc w:val="both"/>
        <w:rPr>
          <w:rFonts w:eastAsia="Calibri"/>
        </w:rPr>
      </w:pPr>
      <w:r>
        <w:t xml:space="preserve">Указываются все виды вознаграждения, </w:t>
      </w:r>
      <w:r>
        <w:rPr>
          <w:rFonts w:eastAsia="Calibri"/>
        </w:rPr>
        <w:t>включая заработную плату членов органов управления эмитента, являющихся (являвшихся) его работниками, в том числе работающих (работавших) по совместительству, премии, комиссионные, вознаграждения, отдельно выплачиваемые за участие в работе указанного органа управления, иные виды вознаграждения, которые были выплачены эмитентом в течение соответствующего отчетного периода, а также описываются с указанием размера расходы, связанные с исполнением функций членов органов управления эмитента, компенсированные эмитентом в течение соответствующего отчетного периода.</w:t>
      </w:r>
    </w:p>
    <w:p w:rsidR="00A02ECF" w:rsidRDefault="00A02ECF">
      <w:pPr>
        <w:pStyle w:val="SubHeading"/>
        <w:spacing w:before="0" w:after="0"/>
      </w:pPr>
    </w:p>
    <w:p w:rsidR="00A02ECF" w:rsidRDefault="00A02ECF">
      <w:pPr>
        <w:pStyle w:val="SubHeading"/>
        <w:spacing w:before="0" w:after="0"/>
      </w:pPr>
    </w:p>
    <w:p w:rsidR="00A02ECF" w:rsidRDefault="00A02ECF">
      <w:pPr>
        <w:pStyle w:val="SubHeading"/>
        <w:spacing w:before="0" w:after="0"/>
      </w:pPr>
    </w:p>
    <w:p w:rsidR="00A02ECF" w:rsidRDefault="006104A2">
      <w:pPr>
        <w:pStyle w:val="SubHeading"/>
        <w:spacing w:before="0" w:after="0"/>
      </w:pPr>
      <w:r>
        <w:t>Вознаграждения:</w:t>
      </w:r>
    </w:p>
    <w:p w:rsidR="00A02ECF" w:rsidRDefault="00A02ECF">
      <w:pPr>
        <w:pStyle w:val="SubHeading"/>
        <w:spacing w:before="0" w:after="0"/>
      </w:pPr>
    </w:p>
    <w:p w:rsidR="00A02ECF" w:rsidRDefault="006104A2">
      <w:pPr>
        <w:pStyle w:val="SubHeading"/>
        <w:spacing w:before="0" w:after="0"/>
      </w:pPr>
      <w:r>
        <w:t>Совет директоров</w:t>
      </w:r>
    </w:p>
    <w:p w:rsidR="00A02ECF" w:rsidRDefault="006104A2">
      <w:pPr>
        <w:rPr>
          <w:rStyle w:val="Subst"/>
        </w:rPr>
      </w:pPr>
      <w:r>
        <w:t>Единица измерения:</w:t>
      </w:r>
      <w:r>
        <w:rPr>
          <w:rStyle w:val="Subst"/>
        </w:rPr>
        <w:t xml:space="preserve"> тыс. руб.</w:t>
      </w:r>
    </w:p>
    <w:tbl>
      <w:tblPr>
        <w:tblW w:w="9072" w:type="dxa"/>
        <w:tblInd w:w="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2" w:type="dxa"/>
          <w:right w:w="72" w:type="dxa"/>
        </w:tblCellMar>
        <w:tblLook w:val="04A0" w:firstRow="1" w:lastRow="0" w:firstColumn="1" w:lastColumn="0" w:noHBand="0" w:noVBand="1"/>
      </w:tblPr>
      <w:tblGrid>
        <w:gridCol w:w="6492"/>
        <w:gridCol w:w="2580"/>
      </w:tblGrid>
      <w:tr w:rsidR="00A02ECF">
        <w:trPr>
          <w:tblHeader/>
        </w:trPr>
        <w:tc>
          <w:tcPr>
            <w:tcW w:w="6492" w:type="dxa"/>
          </w:tcPr>
          <w:p w:rsidR="00A02ECF" w:rsidRDefault="006104A2">
            <w:pPr>
              <w:jc w:val="center"/>
            </w:pPr>
            <w:r>
              <w:t>Наименование показателя</w:t>
            </w:r>
          </w:p>
        </w:tc>
        <w:tc>
          <w:tcPr>
            <w:tcW w:w="2580" w:type="dxa"/>
          </w:tcPr>
          <w:p w:rsidR="00A02ECF" w:rsidRDefault="006104A2">
            <w:pPr>
              <w:jc w:val="center"/>
              <w:rPr>
                <w:b/>
                <w:bCs/>
              </w:rPr>
            </w:pPr>
            <w:r>
              <w:rPr>
                <w:b/>
                <w:bCs/>
              </w:rPr>
              <w:t>2025 г.</w:t>
            </w:r>
          </w:p>
        </w:tc>
      </w:tr>
      <w:tr w:rsidR="00A02ECF">
        <w:tc>
          <w:tcPr>
            <w:tcW w:w="6492" w:type="dxa"/>
          </w:tcPr>
          <w:p w:rsidR="00A02ECF" w:rsidRDefault="006104A2">
            <w:r>
              <w:t>Вознаграждение за участие в работе органа управления</w:t>
            </w:r>
          </w:p>
        </w:tc>
        <w:tc>
          <w:tcPr>
            <w:tcW w:w="2580" w:type="dxa"/>
          </w:tcPr>
          <w:p w:rsidR="00A02ECF" w:rsidRDefault="006104A2">
            <w:pPr>
              <w:jc w:val="right"/>
            </w:pPr>
            <w:r>
              <w:t>273 296</w:t>
            </w:r>
          </w:p>
        </w:tc>
      </w:tr>
      <w:tr w:rsidR="00A02ECF">
        <w:tc>
          <w:tcPr>
            <w:tcW w:w="6492" w:type="dxa"/>
          </w:tcPr>
          <w:p w:rsidR="00A02ECF" w:rsidRDefault="006104A2">
            <w:r>
              <w:t>Заработная плата</w:t>
            </w:r>
          </w:p>
        </w:tc>
        <w:tc>
          <w:tcPr>
            <w:tcW w:w="2580" w:type="dxa"/>
          </w:tcPr>
          <w:p w:rsidR="00A02ECF" w:rsidRDefault="006104A2">
            <w:pPr>
              <w:jc w:val="right"/>
            </w:pPr>
            <w:r>
              <w:t>-</w:t>
            </w:r>
          </w:p>
        </w:tc>
      </w:tr>
      <w:tr w:rsidR="00A02ECF">
        <w:tc>
          <w:tcPr>
            <w:tcW w:w="6492" w:type="dxa"/>
          </w:tcPr>
          <w:p w:rsidR="00A02ECF" w:rsidRDefault="006104A2">
            <w:r>
              <w:t>Премии</w:t>
            </w:r>
          </w:p>
        </w:tc>
        <w:tc>
          <w:tcPr>
            <w:tcW w:w="2580" w:type="dxa"/>
          </w:tcPr>
          <w:p w:rsidR="00A02ECF" w:rsidRDefault="006104A2">
            <w:pPr>
              <w:jc w:val="right"/>
            </w:pPr>
            <w:r>
              <w:t>-</w:t>
            </w:r>
          </w:p>
        </w:tc>
      </w:tr>
      <w:tr w:rsidR="00A02ECF">
        <w:tc>
          <w:tcPr>
            <w:tcW w:w="6492" w:type="dxa"/>
          </w:tcPr>
          <w:p w:rsidR="00A02ECF" w:rsidRDefault="006104A2">
            <w:r>
              <w:t>Комиссионные</w:t>
            </w:r>
          </w:p>
        </w:tc>
        <w:tc>
          <w:tcPr>
            <w:tcW w:w="2580" w:type="dxa"/>
          </w:tcPr>
          <w:p w:rsidR="00A02ECF" w:rsidRDefault="006104A2">
            <w:pPr>
              <w:jc w:val="right"/>
            </w:pPr>
            <w:r>
              <w:t>-</w:t>
            </w:r>
          </w:p>
        </w:tc>
      </w:tr>
      <w:tr w:rsidR="00A02ECF">
        <w:tc>
          <w:tcPr>
            <w:tcW w:w="6492" w:type="dxa"/>
            <w:tcBorders>
              <w:bottom w:val="single" w:sz="4" w:space="0" w:color="000000"/>
            </w:tcBorders>
          </w:tcPr>
          <w:p w:rsidR="00A02ECF" w:rsidRDefault="006104A2">
            <w:r>
              <w:t>Иные виды вознаграждений</w:t>
            </w:r>
          </w:p>
        </w:tc>
        <w:tc>
          <w:tcPr>
            <w:tcW w:w="2580" w:type="dxa"/>
            <w:tcBorders>
              <w:bottom w:val="single" w:sz="4" w:space="0" w:color="000000"/>
            </w:tcBorders>
          </w:tcPr>
          <w:p w:rsidR="00A02ECF" w:rsidRDefault="006104A2">
            <w:pPr>
              <w:jc w:val="right"/>
            </w:pPr>
            <w:r>
              <w:t>-</w:t>
            </w:r>
          </w:p>
        </w:tc>
      </w:tr>
      <w:tr w:rsidR="00A02ECF">
        <w:tc>
          <w:tcPr>
            <w:tcW w:w="6492" w:type="dxa"/>
          </w:tcPr>
          <w:p w:rsidR="00A02ECF" w:rsidRDefault="006104A2">
            <w:r>
              <w:t>ИТОГО</w:t>
            </w:r>
          </w:p>
        </w:tc>
        <w:tc>
          <w:tcPr>
            <w:tcW w:w="2580" w:type="dxa"/>
          </w:tcPr>
          <w:p w:rsidR="00A02ECF" w:rsidRDefault="006104A2">
            <w:pPr>
              <w:jc w:val="right"/>
              <w:rPr>
                <w:b/>
                <w:bCs/>
              </w:rPr>
            </w:pPr>
            <w:r>
              <w:rPr>
                <w:b/>
                <w:bCs/>
              </w:rPr>
              <w:t>273 296</w:t>
            </w:r>
          </w:p>
        </w:tc>
      </w:tr>
    </w:tbl>
    <w:p w:rsidR="00A02ECF" w:rsidRDefault="006104A2">
      <w:pPr>
        <w:rPr>
          <w:b/>
          <w:i/>
        </w:rPr>
      </w:pPr>
      <w:r>
        <w:rPr>
          <w:b/>
          <w:i/>
        </w:rPr>
        <w:t>Комментарии к таблице:</w:t>
      </w:r>
    </w:p>
    <w:p w:rsidR="00A02ECF" w:rsidRDefault="006104A2">
      <w:pPr>
        <w:spacing w:before="120"/>
        <w:jc w:val="both"/>
        <w:rPr>
          <w:b/>
          <w:bCs/>
          <w:i/>
          <w:iCs/>
        </w:rPr>
      </w:pPr>
      <w:r>
        <w:rPr>
          <w:b/>
          <w:i/>
        </w:rPr>
        <w:t>Сумма доходов (выплат), выплаченных ПАО «Газпром» всем членам Совета директоров Общества за</w:t>
      </w:r>
      <w:r>
        <w:rPr>
          <w:b/>
          <w:i/>
          <w:lang w:val="en-US"/>
        </w:rPr>
        <w:t> </w:t>
      </w:r>
      <w:r>
        <w:rPr>
          <w:b/>
          <w:i/>
        </w:rPr>
        <w:t>период с 01 января 2025 г. по 31 декабря 2025 г. Сумма доходов (выплат) представленная по строке «Итого» включает заработную плату, премии, налог на доходы физических лиц, а также иные виды вознаграждения, которые были выплачены Обществом за период с 01 января 2025 г. по 31 декабря 2025 г.</w:t>
      </w:r>
      <w:r>
        <w:t xml:space="preserve"> </w:t>
      </w:r>
      <w:r>
        <w:rPr>
          <w:b/>
          <w:i/>
        </w:rPr>
        <w:t>Сумма страховых взносов на обязательное пенсионное страхование, обязательное социальное страхование на случай временной нетрудоспособности и в связи с материнством, на обязательное медицинское страхование, страхование от несчастных случаев на производстве и профессиональных заболеваний, за период с 01 января 2025 г. по 31 декабря 2025  г. составила 43</w:t>
      </w:r>
      <w:r>
        <w:rPr>
          <w:b/>
          <w:i/>
          <w:lang w:val="en-US"/>
        </w:rPr>
        <w:t> </w:t>
      </w:r>
      <w:r>
        <w:rPr>
          <w:b/>
          <w:i/>
        </w:rPr>
        <w:t>479 тыс. рублей.</w:t>
      </w:r>
    </w:p>
    <w:p w:rsidR="00A02ECF" w:rsidRDefault="00A02ECF">
      <w:pPr>
        <w:pStyle w:val="SubHeading"/>
        <w:spacing w:before="0" w:after="0"/>
        <w:jc w:val="both"/>
      </w:pPr>
    </w:p>
    <w:p w:rsidR="00A02ECF" w:rsidRDefault="006104A2">
      <w:pPr>
        <w:pStyle w:val="SubHeading"/>
        <w:spacing w:before="0" w:after="0"/>
        <w:jc w:val="both"/>
        <w:rPr>
          <w:rFonts w:eastAsia="Calibri"/>
        </w:rPr>
      </w:pPr>
      <w:r>
        <w:t>Све</w:t>
      </w:r>
      <w:r>
        <w:rPr>
          <w:rFonts w:eastAsia="Calibri"/>
        </w:rPr>
        <w:t xml:space="preserve">дения о принятых органами управления эмитента решениях и (или) существующих соглашениях </w:t>
      </w:r>
      <w:r>
        <w:rPr>
          <w:rFonts w:eastAsia="Calibri"/>
        </w:rPr>
        <w:lastRenderedPageBreak/>
        <w:t>относительно размера вознаграждения, подлежащего выплате, и (или) размера расходов, подлежащих компенсации:</w:t>
      </w:r>
    </w:p>
    <w:p w:rsidR="00A02ECF" w:rsidRDefault="006104A2">
      <w:pPr>
        <w:spacing w:before="120"/>
        <w:jc w:val="both"/>
        <w:rPr>
          <w:b/>
          <w:i/>
        </w:rPr>
      </w:pPr>
      <w:r>
        <w:rPr>
          <w:b/>
          <w:bCs/>
          <w:i/>
          <w:iCs/>
        </w:rPr>
        <w:t>В соответствии с Положением о Совете директоров ПАО «Газпром», утвержденным годовым Общим собранием акционеров ПАО «Газпром» (протокол № 1 от 30 июня 2016 г.), и Уставом Общества по решению Общего собрания акционеров членам Совета директоров в период исполнения ими своих обязанностей могут выплачиваться вознаграждение и (или) компенсироваться расходы, связанные с исполнением ими функций членов Совета директоров. Размеры таких вознаграждений и компенсаций устанавливаются решением Общего собрания акционеров.</w:t>
      </w:r>
    </w:p>
    <w:p w:rsidR="00A02ECF" w:rsidRDefault="00A02ECF">
      <w:pPr>
        <w:jc w:val="both"/>
        <w:rPr>
          <w:b/>
          <w:i/>
        </w:rPr>
      </w:pPr>
    </w:p>
    <w:p w:rsidR="00A02ECF" w:rsidRDefault="006104A2">
      <w:pPr>
        <w:jc w:val="both"/>
        <w:rPr>
          <w:b/>
          <w:i/>
        </w:rPr>
      </w:pPr>
      <w:r>
        <w:rPr>
          <w:b/>
          <w:i/>
        </w:rPr>
        <w:t>Доходы, полученные членами Совета директоров ПАО «Газпром», одновременно являющимися членами Правления ПАО «Газпром» и штатными сотрудниками Общества, связанные с</w:t>
      </w:r>
      <w:r>
        <w:rPr>
          <w:b/>
          <w:i/>
          <w:lang w:val="en-US"/>
        </w:rPr>
        <w:t> </w:t>
      </w:r>
      <w:r>
        <w:rPr>
          <w:b/>
          <w:i/>
        </w:rPr>
        <w:t>осуществлением ими функций членов Совета директоров ПАО «Газпром», учтены в сумме доходов Совета директоров ПАО «Газпром». Иные виды выплаченного вознаграждения и</w:t>
      </w:r>
      <w:r>
        <w:rPr>
          <w:b/>
          <w:i/>
          <w:lang w:val="en-US"/>
        </w:rPr>
        <w:t> </w:t>
      </w:r>
      <w:r>
        <w:rPr>
          <w:b/>
          <w:i/>
        </w:rPr>
        <w:t>(или)</w:t>
      </w:r>
      <w:r>
        <w:rPr>
          <w:b/>
          <w:i/>
          <w:lang w:val="en-US"/>
        </w:rPr>
        <w:t> </w:t>
      </w:r>
      <w:r>
        <w:rPr>
          <w:b/>
          <w:i/>
        </w:rPr>
        <w:t>компенсированных расходов таких членов Совета директоров ПАО «Газпром» включаются в</w:t>
      </w:r>
      <w:r>
        <w:rPr>
          <w:b/>
          <w:i/>
          <w:lang w:val="en-US"/>
        </w:rPr>
        <w:t> </w:t>
      </w:r>
      <w:r>
        <w:rPr>
          <w:b/>
          <w:i/>
        </w:rPr>
        <w:t>совокупный размер вознаграждения и (или) компенсированных расходов по Правлению ПАО «Газпром».</w:t>
      </w:r>
    </w:p>
    <w:p w:rsidR="00A02ECF" w:rsidRDefault="00A02ECF">
      <w:pPr>
        <w:spacing w:before="0" w:after="0"/>
        <w:rPr>
          <w:b/>
          <w:bCs/>
          <w:i/>
          <w:iCs/>
        </w:rPr>
      </w:pPr>
    </w:p>
    <w:p w:rsidR="00A02ECF" w:rsidRDefault="006104A2">
      <w:pPr>
        <w:pStyle w:val="SubHeading"/>
        <w:spacing w:before="0" w:after="0"/>
      </w:pPr>
      <w:r>
        <w:t>Коллегиальный исполнительный орган</w:t>
      </w:r>
      <w:r w:rsidR="0040571D">
        <w:t xml:space="preserve"> – Правление</w:t>
      </w:r>
    </w:p>
    <w:p w:rsidR="00A02ECF" w:rsidRDefault="006104A2">
      <w:r>
        <w:t>Единица измерения:</w:t>
      </w:r>
      <w:r>
        <w:rPr>
          <w:rStyle w:val="Subst"/>
        </w:rPr>
        <w:t xml:space="preserve"> тыс. руб.</w:t>
      </w:r>
    </w:p>
    <w:tbl>
      <w:tblPr>
        <w:tblW w:w="9072" w:type="dxa"/>
        <w:tblInd w:w="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2" w:type="dxa"/>
          <w:right w:w="72" w:type="dxa"/>
        </w:tblCellMar>
        <w:tblLook w:val="04A0" w:firstRow="1" w:lastRow="0" w:firstColumn="1" w:lastColumn="0" w:noHBand="0" w:noVBand="1"/>
      </w:tblPr>
      <w:tblGrid>
        <w:gridCol w:w="6492"/>
        <w:gridCol w:w="2580"/>
      </w:tblGrid>
      <w:tr w:rsidR="00A02ECF">
        <w:trPr>
          <w:tblHeader/>
        </w:trPr>
        <w:tc>
          <w:tcPr>
            <w:tcW w:w="6492" w:type="dxa"/>
          </w:tcPr>
          <w:p w:rsidR="00A02ECF" w:rsidRDefault="006104A2">
            <w:pPr>
              <w:jc w:val="center"/>
            </w:pPr>
            <w:r>
              <w:t>Наименование показателя</w:t>
            </w:r>
          </w:p>
        </w:tc>
        <w:tc>
          <w:tcPr>
            <w:tcW w:w="2580" w:type="dxa"/>
          </w:tcPr>
          <w:p w:rsidR="00A02ECF" w:rsidRDefault="006104A2">
            <w:pPr>
              <w:jc w:val="center"/>
              <w:rPr>
                <w:b/>
                <w:bCs/>
              </w:rPr>
            </w:pPr>
            <w:r>
              <w:rPr>
                <w:b/>
                <w:bCs/>
              </w:rPr>
              <w:t>2025 г.</w:t>
            </w:r>
          </w:p>
        </w:tc>
      </w:tr>
      <w:tr w:rsidR="00A02ECF">
        <w:tc>
          <w:tcPr>
            <w:tcW w:w="6492" w:type="dxa"/>
          </w:tcPr>
          <w:p w:rsidR="00A02ECF" w:rsidRDefault="006104A2">
            <w:r>
              <w:t>Вознаграждение за участие в работе органа управления</w:t>
            </w:r>
          </w:p>
        </w:tc>
        <w:tc>
          <w:tcPr>
            <w:tcW w:w="2580" w:type="dxa"/>
          </w:tcPr>
          <w:p w:rsidR="00A02ECF" w:rsidRDefault="006104A2">
            <w:pPr>
              <w:jc w:val="right"/>
              <w:rPr>
                <w:lang w:val="en-US"/>
              </w:rPr>
            </w:pPr>
            <w:r>
              <w:t>-</w:t>
            </w:r>
          </w:p>
        </w:tc>
      </w:tr>
      <w:tr w:rsidR="00A02ECF">
        <w:tc>
          <w:tcPr>
            <w:tcW w:w="6492" w:type="dxa"/>
          </w:tcPr>
          <w:p w:rsidR="00A02ECF" w:rsidRDefault="006104A2">
            <w:r>
              <w:t>Заработная плата</w:t>
            </w:r>
          </w:p>
        </w:tc>
        <w:tc>
          <w:tcPr>
            <w:tcW w:w="2580" w:type="dxa"/>
          </w:tcPr>
          <w:p w:rsidR="00A02ECF" w:rsidRDefault="006104A2">
            <w:pPr>
              <w:jc w:val="right"/>
            </w:pPr>
            <w:r>
              <w:t>1 223 707</w:t>
            </w:r>
          </w:p>
        </w:tc>
      </w:tr>
      <w:tr w:rsidR="00A02ECF">
        <w:tc>
          <w:tcPr>
            <w:tcW w:w="6492" w:type="dxa"/>
          </w:tcPr>
          <w:p w:rsidR="00A02ECF" w:rsidRDefault="006104A2">
            <w:r>
              <w:t>Премии</w:t>
            </w:r>
          </w:p>
        </w:tc>
        <w:tc>
          <w:tcPr>
            <w:tcW w:w="2580" w:type="dxa"/>
          </w:tcPr>
          <w:p w:rsidR="00A02ECF" w:rsidRDefault="006104A2">
            <w:pPr>
              <w:jc w:val="right"/>
            </w:pPr>
            <w:r>
              <w:t>1 332 730</w:t>
            </w:r>
          </w:p>
        </w:tc>
      </w:tr>
      <w:tr w:rsidR="00A02ECF">
        <w:tc>
          <w:tcPr>
            <w:tcW w:w="6492" w:type="dxa"/>
          </w:tcPr>
          <w:p w:rsidR="00A02ECF" w:rsidRDefault="006104A2">
            <w:r>
              <w:t>Комиссионные</w:t>
            </w:r>
          </w:p>
        </w:tc>
        <w:tc>
          <w:tcPr>
            <w:tcW w:w="2580" w:type="dxa"/>
          </w:tcPr>
          <w:p w:rsidR="00A02ECF" w:rsidRDefault="006104A2">
            <w:pPr>
              <w:jc w:val="right"/>
            </w:pPr>
            <w:r>
              <w:t>-</w:t>
            </w:r>
          </w:p>
        </w:tc>
      </w:tr>
      <w:tr w:rsidR="00A02ECF">
        <w:tc>
          <w:tcPr>
            <w:tcW w:w="6492" w:type="dxa"/>
          </w:tcPr>
          <w:p w:rsidR="00A02ECF" w:rsidRDefault="006104A2">
            <w:r>
              <w:t>Иные виды вознаграждений</w:t>
            </w:r>
          </w:p>
        </w:tc>
        <w:tc>
          <w:tcPr>
            <w:tcW w:w="2580" w:type="dxa"/>
          </w:tcPr>
          <w:p w:rsidR="00A02ECF" w:rsidRDefault="006104A2">
            <w:pPr>
              <w:jc w:val="right"/>
            </w:pPr>
            <w:r>
              <w:t>21 541</w:t>
            </w:r>
          </w:p>
        </w:tc>
      </w:tr>
      <w:tr w:rsidR="00A02ECF">
        <w:tc>
          <w:tcPr>
            <w:tcW w:w="6492" w:type="dxa"/>
          </w:tcPr>
          <w:p w:rsidR="00A02ECF" w:rsidRDefault="006104A2">
            <w:r>
              <w:t>ИТОГО</w:t>
            </w:r>
          </w:p>
        </w:tc>
        <w:tc>
          <w:tcPr>
            <w:tcW w:w="2580" w:type="dxa"/>
          </w:tcPr>
          <w:p w:rsidR="00A02ECF" w:rsidRDefault="006104A2">
            <w:pPr>
              <w:jc w:val="right"/>
              <w:rPr>
                <w:b/>
                <w:bCs/>
              </w:rPr>
            </w:pPr>
            <w:r>
              <w:rPr>
                <w:b/>
                <w:bCs/>
              </w:rPr>
              <w:t>2 577 978</w:t>
            </w:r>
          </w:p>
        </w:tc>
      </w:tr>
    </w:tbl>
    <w:p w:rsidR="00A02ECF" w:rsidRDefault="006104A2">
      <w:pPr>
        <w:jc w:val="both"/>
        <w:rPr>
          <w:b/>
          <w:i/>
        </w:rPr>
      </w:pPr>
      <w:r>
        <w:rPr>
          <w:b/>
          <w:i/>
        </w:rPr>
        <w:t>Комментарии к таблице:</w:t>
      </w:r>
    </w:p>
    <w:p w:rsidR="00A02ECF" w:rsidRDefault="006104A2">
      <w:pPr>
        <w:spacing w:before="120"/>
        <w:jc w:val="both"/>
        <w:rPr>
          <w:b/>
          <w:i/>
        </w:rPr>
      </w:pPr>
      <w:r>
        <w:rPr>
          <w:b/>
          <w:bCs/>
          <w:i/>
          <w:iCs/>
        </w:rPr>
        <w:t xml:space="preserve">Сумма доходов (выплат), выплаченных ПАО «Газпром» всем членам Правления Общества за период </w:t>
      </w:r>
      <w:r>
        <w:rPr>
          <w:b/>
          <w:i/>
        </w:rPr>
        <w:t>с</w:t>
      </w:r>
      <w:r>
        <w:rPr>
          <w:b/>
          <w:i/>
          <w:lang w:val="en-US"/>
        </w:rPr>
        <w:t> </w:t>
      </w:r>
      <w:r>
        <w:rPr>
          <w:b/>
          <w:i/>
        </w:rPr>
        <w:t>01 января 2025 г. по 31 декабря 2025 г. Сумма доходов (выплат) представленная по строке «Итого» включает заработную плату, премии, налог на доходы физических лиц, а также иные виды вознаграждения, которые были выплачены Обществом за период с 01 января 2025 г. по 31 декабря 2025 г.</w:t>
      </w:r>
      <w:r>
        <w:t xml:space="preserve"> </w:t>
      </w:r>
      <w:r>
        <w:rPr>
          <w:b/>
          <w:i/>
        </w:rPr>
        <w:t>Сумма страховых взносов на обязательное пенсионное страхование, обязательное социальное страхование на случай временной нетрудоспособности и в связи с материнством, на обязательное медицинское страхование, страхование от несчастных случаев на производстве и профессиональных заболеваний, за период с 01 января 2025 г. по 31 декабря 2025  г. составила 402</w:t>
      </w:r>
      <w:r>
        <w:rPr>
          <w:b/>
          <w:i/>
          <w:lang w:val="en-US"/>
        </w:rPr>
        <w:t> </w:t>
      </w:r>
      <w:r>
        <w:rPr>
          <w:b/>
          <w:i/>
        </w:rPr>
        <w:t>046 тыс. руб.</w:t>
      </w:r>
    </w:p>
    <w:p w:rsidR="00A02ECF" w:rsidRDefault="00A02ECF">
      <w:pPr>
        <w:spacing w:before="0" w:after="0"/>
        <w:jc w:val="both"/>
      </w:pPr>
    </w:p>
    <w:p w:rsidR="00A02ECF" w:rsidRDefault="006104A2">
      <w:pPr>
        <w:spacing w:before="0" w:after="0"/>
        <w:jc w:val="both"/>
      </w:pPr>
      <w:r>
        <w:t>Сведения о принятых органами управления эмитента решениях и (или) существующих соглашениях относительно размера вознаграждения, подлежащего выплате, и (или) размера расходов, подлежащих компенсации:</w:t>
      </w:r>
    </w:p>
    <w:p w:rsidR="00A02ECF" w:rsidRDefault="006104A2">
      <w:pPr>
        <w:jc w:val="both"/>
      </w:pPr>
      <w:r>
        <w:rPr>
          <w:b/>
          <w:i/>
        </w:rPr>
        <w:t>Членам Правления Общества вознаграждения и компенсации, предусмотренные подпунктом 9 п. 34.1 Устава ПАО «Газпром», не устанавливались, а оплата их труда производится по занимаемым должностям в соответствии с трудовыми договорами.</w:t>
      </w:r>
    </w:p>
    <w:p w:rsidR="00A02ECF" w:rsidRDefault="00A02ECF">
      <w:pPr>
        <w:jc w:val="both"/>
      </w:pPr>
    </w:p>
    <w:p w:rsidR="00A02ECF" w:rsidRDefault="00A02ECF">
      <w:pPr>
        <w:jc w:val="both"/>
      </w:pPr>
    </w:p>
    <w:p w:rsidR="00A02ECF" w:rsidRDefault="006104A2">
      <w:pPr>
        <w:pStyle w:val="SubHeading"/>
        <w:spacing w:before="0" w:after="0"/>
      </w:pPr>
      <w:r>
        <w:t>Компенсации расходов, связанных с исполнением функций членов органов управления</w:t>
      </w:r>
    </w:p>
    <w:p w:rsidR="00A02ECF" w:rsidRDefault="006104A2">
      <w:r>
        <w:t>Единица измерения:</w:t>
      </w:r>
      <w:r>
        <w:rPr>
          <w:rStyle w:val="Subst"/>
        </w:rPr>
        <w:t xml:space="preserve"> тыс. руб.</w:t>
      </w:r>
    </w:p>
    <w:p w:rsidR="00A02ECF" w:rsidRDefault="00A02ECF">
      <w:pPr>
        <w:pStyle w:val="ThinDelim"/>
        <w:rPr>
          <w:sz w:val="20"/>
          <w:szCs w:val="20"/>
        </w:rPr>
      </w:pPr>
    </w:p>
    <w:tbl>
      <w:tblPr>
        <w:tblW w:w="9072" w:type="dxa"/>
        <w:tblInd w:w="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2" w:type="dxa"/>
          <w:right w:w="72" w:type="dxa"/>
        </w:tblCellMar>
        <w:tblLook w:val="04A0" w:firstRow="1" w:lastRow="0" w:firstColumn="1" w:lastColumn="0" w:noHBand="0" w:noVBand="1"/>
      </w:tblPr>
      <w:tblGrid>
        <w:gridCol w:w="6451"/>
        <w:gridCol w:w="2621"/>
      </w:tblGrid>
      <w:tr w:rsidR="00A02ECF">
        <w:tc>
          <w:tcPr>
            <w:tcW w:w="6451" w:type="dxa"/>
          </w:tcPr>
          <w:p w:rsidR="00A02ECF" w:rsidRDefault="006104A2">
            <w:pPr>
              <w:jc w:val="center"/>
            </w:pPr>
            <w:r>
              <w:t>Наименование органа управления</w:t>
            </w:r>
          </w:p>
        </w:tc>
        <w:tc>
          <w:tcPr>
            <w:tcW w:w="2621" w:type="dxa"/>
          </w:tcPr>
          <w:p w:rsidR="00A02ECF" w:rsidRDefault="006104A2">
            <w:pPr>
              <w:jc w:val="center"/>
            </w:pPr>
            <w:r>
              <w:rPr>
                <w:b/>
                <w:bCs/>
              </w:rPr>
              <w:t>2025 г.</w:t>
            </w:r>
          </w:p>
        </w:tc>
      </w:tr>
      <w:tr w:rsidR="00A02ECF">
        <w:tc>
          <w:tcPr>
            <w:tcW w:w="6451" w:type="dxa"/>
          </w:tcPr>
          <w:p w:rsidR="00A02ECF" w:rsidRDefault="006104A2">
            <w:r>
              <w:t>Совет директоров</w:t>
            </w:r>
          </w:p>
        </w:tc>
        <w:tc>
          <w:tcPr>
            <w:tcW w:w="2621" w:type="dxa"/>
          </w:tcPr>
          <w:p w:rsidR="00A02ECF" w:rsidRDefault="006104A2">
            <w:pPr>
              <w:jc w:val="center"/>
            </w:pPr>
            <w:r>
              <w:t>-</w:t>
            </w:r>
          </w:p>
        </w:tc>
      </w:tr>
      <w:tr w:rsidR="00A02ECF">
        <w:tc>
          <w:tcPr>
            <w:tcW w:w="6451" w:type="dxa"/>
          </w:tcPr>
          <w:p w:rsidR="00A02ECF" w:rsidRDefault="006104A2">
            <w:r>
              <w:t>Коллегиальный исполнительный орган</w:t>
            </w:r>
          </w:p>
        </w:tc>
        <w:tc>
          <w:tcPr>
            <w:tcW w:w="2621" w:type="dxa"/>
          </w:tcPr>
          <w:p w:rsidR="00A02ECF" w:rsidRDefault="006104A2">
            <w:pPr>
              <w:jc w:val="center"/>
            </w:pPr>
            <w:r>
              <w:t>-</w:t>
            </w:r>
          </w:p>
        </w:tc>
      </w:tr>
    </w:tbl>
    <w:p w:rsidR="00A02ECF" w:rsidRDefault="00A02ECF"/>
    <w:p w:rsidR="00A02ECF" w:rsidRDefault="00A02ECF"/>
    <w:p w:rsidR="00A02ECF" w:rsidRDefault="00A02ECF"/>
    <w:p w:rsidR="00A02ECF" w:rsidRDefault="006104A2">
      <w:pPr>
        <w:pStyle w:val="2"/>
        <w:jc w:val="both"/>
        <w:rPr>
          <w:bCs w:val="0"/>
          <w:color w:val="000000"/>
          <w:szCs w:val="20"/>
        </w:rPr>
      </w:pPr>
      <w:bookmarkStart w:id="245" w:name="_Toc230104326"/>
      <w:r>
        <w:rPr>
          <w:bCs w:val="0"/>
          <w:color w:val="000000"/>
          <w:szCs w:val="20"/>
        </w:rPr>
        <w:t>2.3. Сведения об организации в эмитенте управления рисками, контроля за финансово-</w:t>
      </w:r>
      <w:r>
        <w:rPr>
          <w:bCs w:val="0"/>
          <w:color w:val="000000"/>
          <w:szCs w:val="20"/>
        </w:rPr>
        <w:lastRenderedPageBreak/>
        <w:t>хозяйственной деятельностью, внутреннего контроля и внутреннего аудита</w:t>
      </w:r>
      <w:bookmarkEnd w:id="245"/>
    </w:p>
    <w:p w:rsidR="00A02ECF" w:rsidRDefault="006104A2">
      <w:pPr>
        <w:spacing w:before="120"/>
        <w:jc w:val="both"/>
      </w:pPr>
      <w:r>
        <w:t>Описание организации в эмитенте управления рисками, контроля за финансово-хозяйственной деятельностью, внутреннего контроля и внутреннего аудита в соответствии с уставом (учредительным документом) эмитента, внутренними документами эмитента и решениями уполномоченных органов управления эмитента.</w:t>
      </w:r>
    </w:p>
    <w:p w:rsidR="00A02ECF" w:rsidRDefault="006104A2">
      <w:pPr>
        <w:spacing w:before="120"/>
        <w:jc w:val="both"/>
      </w:pPr>
      <w:r>
        <w:t xml:space="preserve">Сведения о наличии комитета совета директоров (наблюдательного совета) по аудиту, его функциях, персональном и количественном составе: </w:t>
      </w:r>
    </w:p>
    <w:p w:rsidR="00A02ECF" w:rsidRDefault="006104A2">
      <w:pPr>
        <w:spacing w:before="120"/>
        <w:rPr>
          <w:b/>
          <w:bCs/>
          <w:i/>
          <w:iCs/>
        </w:rPr>
      </w:pPr>
      <w:r>
        <w:rPr>
          <w:b/>
          <w:bCs/>
          <w:i/>
          <w:iCs/>
        </w:rPr>
        <w:t xml:space="preserve">В Обществе образован Комитет Совета директоров по аудиту. </w:t>
      </w:r>
    </w:p>
    <w:p w:rsidR="00A02ECF" w:rsidRDefault="006104A2">
      <w:pPr>
        <w:spacing w:before="120"/>
        <w:jc w:val="both"/>
      </w:pPr>
      <w:r>
        <w:t>Основные функции комитета совета директоров по аудиту:</w:t>
      </w:r>
    </w:p>
    <w:p w:rsidR="00A02ECF" w:rsidRDefault="006104A2">
      <w:pPr>
        <w:spacing w:before="120"/>
        <w:jc w:val="both"/>
        <w:rPr>
          <w:b/>
          <w:i/>
        </w:rPr>
      </w:pPr>
      <w:r>
        <w:rPr>
          <w:b/>
          <w:i/>
        </w:rPr>
        <w:t>В соответствии с Положением о Совете директоров ОАО «Газпром», утвержденным решением годового Общего собрания акционеров ОАО «Газпром» (протокол от 28.06.2002 № 1), создан Комитет Совета директоров ПАО «Газпром» по аудиту (далее – Комитет).</w:t>
      </w:r>
    </w:p>
    <w:p w:rsidR="00A02ECF" w:rsidRDefault="006104A2">
      <w:pPr>
        <w:spacing w:before="120"/>
        <w:jc w:val="both"/>
        <w:rPr>
          <w:b/>
          <w:i/>
        </w:rPr>
      </w:pPr>
      <w:r>
        <w:rPr>
          <w:b/>
          <w:i/>
        </w:rPr>
        <w:t>Комитет содействует осуществлению контроля Совета директоров за финансово-хозяйственной деятельностью Общества.</w:t>
      </w:r>
    </w:p>
    <w:p w:rsidR="00A02ECF" w:rsidRDefault="006104A2">
      <w:pPr>
        <w:spacing w:before="120"/>
        <w:jc w:val="both"/>
        <w:rPr>
          <w:b/>
          <w:i/>
        </w:rPr>
      </w:pPr>
      <w:r>
        <w:rPr>
          <w:b/>
          <w:i/>
        </w:rPr>
        <w:t>Основными задачами Комитета являются предварительное всестороннее изучение отдельных вопросов, отнесенных к компетенции Совета директоров, и подготовка рекомендаций для принятия решений Советом директоров.</w:t>
      </w:r>
    </w:p>
    <w:p w:rsidR="00A02ECF" w:rsidRDefault="006104A2">
      <w:pPr>
        <w:spacing w:before="120"/>
        <w:jc w:val="both"/>
        <w:rPr>
          <w:b/>
          <w:i/>
        </w:rPr>
      </w:pPr>
      <w:r>
        <w:rPr>
          <w:b/>
          <w:i/>
        </w:rPr>
        <w:t>Основными функциями Комитета являются:</w:t>
      </w:r>
    </w:p>
    <w:p w:rsidR="00A02ECF" w:rsidRDefault="006104A2">
      <w:pPr>
        <w:spacing w:before="120"/>
        <w:ind w:firstLine="709"/>
        <w:jc w:val="both"/>
        <w:rPr>
          <w:b/>
          <w:i/>
        </w:rPr>
      </w:pPr>
      <w:r>
        <w:rPr>
          <w:b/>
          <w:i/>
        </w:rPr>
        <w:t>оценка кандидатов в аудиторы Общества, оценка заключения аудитора;</w:t>
      </w:r>
    </w:p>
    <w:p w:rsidR="00A02ECF" w:rsidRDefault="006104A2">
      <w:pPr>
        <w:spacing w:before="120"/>
        <w:ind w:firstLine="709"/>
        <w:jc w:val="both"/>
        <w:rPr>
          <w:b/>
          <w:i/>
        </w:rPr>
      </w:pPr>
      <w:r>
        <w:rPr>
          <w:b/>
          <w:i/>
        </w:rPr>
        <w:t>обеспечение независимости и объективности осуществления функций внутреннего и</w:t>
      </w:r>
      <w:r>
        <w:rPr>
          <w:b/>
          <w:i/>
          <w:lang w:val="en-US"/>
        </w:rPr>
        <w:t> </w:t>
      </w:r>
      <w:r>
        <w:rPr>
          <w:b/>
          <w:i/>
        </w:rPr>
        <w:t>внешнего аудита;</w:t>
      </w:r>
    </w:p>
    <w:p w:rsidR="00A02ECF" w:rsidRDefault="006104A2">
      <w:pPr>
        <w:spacing w:before="120"/>
        <w:ind w:firstLine="709"/>
        <w:jc w:val="both"/>
        <w:rPr>
          <w:b/>
          <w:i/>
        </w:rPr>
      </w:pPr>
      <w:r>
        <w:rPr>
          <w:b/>
          <w:i/>
        </w:rPr>
        <w:t>контроль за обеспечением полноты, точности и достоверности финансовой отчетности Общества;</w:t>
      </w:r>
    </w:p>
    <w:p w:rsidR="00A02ECF" w:rsidRDefault="006104A2">
      <w:pPr>
        <w:spacing w:before="120"/>
        <w:ind w:firstLine="709"/>
        <w:jc w:val="both"/>
        <w:rPr>
          <w:b/>
          <w:i/>
        </w:rPr>
      </w:pPr>
      <w:r>
        <w:rPr>
          <w:b/>
          <w:i/>
        </w:rPr>
        <w:t>контроль за надежностью и эффективностью функционирования системы управления рисками и внутреннего контроля.</w:t>
      </w:r>
    </w:p>
    <w:p w:rsidR="00A02ECF" w:rsidRDefault="006104A2">
      <w:pPr>
        <w:spacing w:before="120"/>
        <w:jc w:val="both"/>
        <w:rPr>
          <w:b/>
          <w:i/>
        </w:rPr>
      </w:pPr>
      <w:r>
        <w:rPr>
          <w:b/>
          <w:i/>
        </w:rPr>
        <w:t>Количественный состав Комитета - 3 человека.</w:t>
      </w:r>
    </w:p>
    <w:p w:rsidR="00A02ECF" w:rsidRDefault="00A02ECF">
      <w:pPr>
        <w:tabs>
          <w:tab w:val="left" w:pos="6523"/>
        </w:tabs>
        <w:spacing w:before="240"/>
      </w:pPr>
    </w:p>
    <w:p w:rsidR="00A02ECF" w:rsidRDefault="006104A2">
      <w:pPr>
        <w:tabs>
          <w:tab w:val="left" w:pos="6523"/>
        </w:tabs>
        <w:spacing w:before="240"/>
      </w:pPr>
      <w:r>
        <w:t>Члены комитета по аудиту совета директоров:</w:t>
      </w:r>
    </w:p>
    <w:tbl>
      <w:tblPr>
        <w:tblW w:w="91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2" w:type="dxa"/>
          <w:right w:w="72" w:type="dxa"/>
        </w:tblCellMar>
        <w:tblLook w:val="04A0" w:firstRow="1" w:lastRow="0" w:firstColumn="1" w:lastColumn="0" w:noHBand="0" w:noVBand="1"/>
      </w:tblPr>
      <w:tblGrid>
        <w:gridCol w:w="6941"/>
        <w:gridCol w:w="2204"/>
      </w:tblGrid>
      <w:tr w:rsidR="00A02ECF">
        <w:trPr>
          <w:tblHeader/>
        </w:trPr>
        <w:tc>
          <w:tcPr>
            <w:tcW w:w="6941" w:type="dxa"/>
          </w:tcPr>
          <w:p w:rsidR="00A02ECF" w:rsidRDefault="006104A2">
            <w:pPr>
              <w:jc w:val="center"/>
            </w:pPr>
            <w:r>
              <w:t>ФИО</w:t>
            </w:r>
          </w:p>
        </w:tc>
        <w:tc>
          <w:tcPr>
            <w:tcW w:w="2204" w:type="dxa"/>
          </w:tcPr>
          <w:p w:rsidR="00A02ECF" w:rsidRDefault="006104A2">
            <w:pPr>
              <w:jc w:val="center"/>
            </w:pPr>
            <w:r>
              <w:t>Председатель</w:t>
            </w:r>
          </w:p>
        </w:tc>
      </w:tr>
      <w:tr w:rsidR="00A02ECF">
        <w:tc>
          <w:tcPr>
            <w:tcW w:w="6941" w:type="dxa"/>
          </w:tcPr>
          <w:p w:rsidR="00A02ECF" w:rsidRDefault="006104A2">
            <w:r>
              <w:t>Максимцев Игорь Анатольевич</w:t>
            </w:r>
          </w:p>
        </w:tc>
        <w:tc>
          <w:tcPr>
            <w:tcW w:w="2204" w:type="dxa"/>
          </w:tcPr>
          <w:p w:rsidR="00A02ECF" w:rsidRDefault="006104A2">
            <w:pPr>
              <w:jc w:val="center"/>
            </w:pPr>
            <w:r>
              <w:t>Да</w:t>
            </w:r>
          </w:p>
        </w:tc>
      </w:tr>
      <w:tr w:rsidR="00A02ECF">
        <w:tc>
          <w:tcPr>
            <w:tcW w:w="6941" w:type="dxa"/>
          </w:tcPr>
          <w:p w:rsidR="00A02ECF" w:rsidRDefault="006104A2">
            <w:r>
              <w:t>Мартынов Виктор Георгиевич</w:t>
            </w:r>
          </w:p>
        </w:tc>
        <w:tc>
          <w:tcPr>
            <w:tcW w:w="2204" w:type="dxa"/>
          </w:tcPr>
          <w:p w:rsidR="00A02ECF" w:rsidRDefault="006104A2">
            <w:pPr>
              <w:jc w:val="center"/>
            </w:pPr>
            <w:r>
              <w:t>Нет</w:t>
            </w:r>
          </w:p>
        </w:tc>
      </w:tr>
      <w:tr w:rsidR="00A02ECF">
        <w:tc>
          <w:tcPr>
            <w:tcW w:w="6941" w:type="dxa"/>
          </w:tcPr>
          <w:p w:rsidR="00A02ECF" w:rsidRDefault="006104A2">
            <w:r>
              <w:t>Середа Михаил Леонидович</w:t>
            </w:r>
          </w:p>
        </w:tc>
        <w:tc>
          <w:tcPr>
            <w:tcW w:w="2204" w:type="dxa"/>
          </w:tcPr>
          <w:p w:rsidR="00A02ECF" w:rsidRDefault="006104A2">
            <w:pPr>
              <w:jc w:val="center"/>
            </w:pPr>
            <w:r>
              <w:t>Нет</w:t>
            </w:r>
          </w:p>
        </w:tc>
      </w:tr>
    </w:tbl>
    <w:p w:rsidR="00A02ECF" w:rsidRDefault="006104A2">
      <w:pPr>
        <w:spacing w:before="120"/>
        <w:jc w:val="both"/>
      </w:pPr>
      <w:r>
        <w:t>Сведения о наличии отдельного структурного подразделения (подразделений) по управлению рисками и (или) внутреннему контролю, а также задачах и функциях указанного структурного подразделения (подразделений):</w:t>
      </w:r>
    </w:p>
    <w:p w:rsidR="00A02ECF" w:rsidRDefault="006104A2">
      <w:pPr>
        <w:spacing w:before="120"/>
        <w:jc w:val="both"/>
        <w:rPr>
          <w:b/>
          <w:bCs/>
          <w:i/>
          <w:iCs/>
        </w:rPr>
      </w:pPr>
      <w:r>
        <w:rPr>
          <w:b/>
          <w:bCs/>
          <w:i/>
          <w:iCs/>
        </w:rPr>
        <w:t>В соответствии с пунктом 1 поручения Президента Российской Федерации по итогам совещания по вопросу повышения эффективности деятельности госкомпаний от 09 декабря 2014 г. № Пр-3013 Правительство Российской Федерации разработало и утвердило перечень внутренних нормативных документов, регламентирующих деятельность государственных корпораций и государственных компаний, включающий в себя, в том числе положение о системе управления рисками. В соответствии с планом принятия корпорациями внутренних нормативных документов по вышеуказанному поручению были получены директивы представителям интересов Российской Федерации от 24 июня 2015 г. № 3984п-П13 (письмо Росимущества от 30 июня 2015 г. № 05/26365). В соответствии с поручением Председателя Совета директоров ПАО «Газпром» от 13 июля 2015 г. № 1-314 директивы были своевременно выполнены.</w:t>
      </w:r>
    </w:p>
    <w:p w:rsidR="00A02ECF" w:rsidRDefault="006104A2">
      <w:pPr>
        <w:spacing w:before="120"/>
        <w:jc w:val="both"/>
        <w:rPr>
          <w:b/>
          <w:bCs/>
          <w:i/>
          <w:iCs/>
        </w:rPr>
      </w:pPr>
      <w:r>
        <w:rPr>
          <w:b/>
          <w:bCs/>
          <w:i/>
          <w:iCs/>
        </w:rPr>
        <w:t xml:space="preserve">В соответствии с требованиями пункта 1 статьи 87.1 Федерального закона от 26 декабря 1995 г. № 208-ФЗ «Об акционерных обществах» в ПАО «Газпром» организовано управление рисками и внутренний контроль. В 2014 году в ПАО «Газпром» было создано структурное подразделение, ответственное за реализацию единой политики ПАО «Газпром» и организаций Группы Газпром в области управления рисками и внутреннего контроля – Управление ПАО «Газпром» (далее – </w:t>
      </w:r>
      <w:r>
        <w:rPr>
          <w:b/>
          <w:bCs/>
          <w:i/>
          <w:iCs/>
        </w:rPr>
        <w:lastRenderedPageBreak/>
        <w:t>Управление), деятельность которого координирует заместитель Председателя Правления.</w:t>
      </w:r>
    </w:p>
    <w:p w:rsidR="00A02ECF" w:rsidRDefault="006104A2">
      <w:pPr>
        <w:spacing w:before="120"/>
        <w:jc w:val="both"/>
        <w:rPr>
          <w:b/>
          <w:bCs/>
          <w:i/>
          <w:iCs/>
        </w:rPr>
      </w:pPr>
      <w:bookmarkStart w:id="246" w:name="_Hlk226989176"/>
      <w:r>
        <w:rPr>
          <w:b/>
          <w:bCs/>
          <w:i/>
          <w:iCs/>
        </w:rPr>
        <w:t>В части выполнения требований Федерального закона от 26 декабря 1995 г. № 208-ФЗ «Об акционерных обществах» и директив представителям интересов Российской Федерации от 24 июня 2015 г. № 3984п-П13 в компаниях с государственным участием и публичных компаниях также созданы обособленные структурные подразделения, осуществляющие реализацию единой политики и координацию деятельности в области управления рисками и внутреннего контроля.</w:t>
      </w:r>
      <w:bookmarkEnd w:id="246"/>
    </w:p>
    <w:p w:rsidR="00A02ECF" w:rsidRDefault="006104A2">
      <w:pPr>
        <w:spacing w:before="120"/>
        <w:jc w:val="both"/>
        <w:rPr>
          <w:b/>
          <w:bCs/>
          <w:i/>
          <w:iCs/>
        </w:rPr>
      </w:pPr>
      <w:r>
        <w:rPr>
          <w:b/>
          <w:bCs/>
          <w:i/>
          <w:iCs/>
        </w:rPr>
        <w:t>В соответствии с Методическими указаниями по подготовке положения о системе управления рисками (одобрены поручением Правительства Российской Федерации от 24 июня 2015 г. № ИШ-П13-4148, положения которого также отражены в статье 51.1 Устава ПАО «Газпром»</w:t>
      </w:r>
      <w:r>
        <w:rPr>
          <w:b/>
          <w:i/>
          <w:vertAlign w:val="superscript"/>
        </w:rPr>
        <w:footnoteReference w:id="5"/>
      </w:r>
      <w:r>
        <w:rPr>
          <w:b/>
          <w:bCs/>
          <w:i/>
          <w:iCs/>
        </w:rPr>
        <w:t>) в Политике управления рисками и внутреннего контроля ПАО «Газпром» деятельность Управления отделена от деятельности, относимой к функционалу внутреннего аудита, контрольно-ревизионных подразделений и подразделения, осуществляющего функции по обеспечению экономической безопасности.</w:t>
      </w:r>
    </w:p>
    <w:p w:rsidR="00A02ECF" w:rsidRDefault="006104A2">
      <w:pPr>
        <w:spacing w:before="120"/>
        <w:jc w:val="both"/>
        <w:rPr>
          <w:b/>
          <w:bCs/>
          <w:i/>
          <w:iCs/>
        </w:rPr>
      </w:pPr>
      <w:r>
        <w:rPr>
          <w:b/>
          <w:bCs/>
          <w:i/>
          <w:iCs/>
        </w:rPr>
        <w:t>В соответствии с поручением правительства Российской Федерации от 31 июля 2014 г. № ИШ-П13-5859 «О внедрении положений Кодекса корпоративного управления» в компаниях с государственным участием были учтены в области управления рисками и внутреннего контроля, определённые в пункте 5.1 и пункте 258 положения Кодекса корпоративного управления (письмо Банка России от 10 апреля 2014 г. № 06-52/2463), что также отражено в локальных нормативных документах ПАО «Газпром» и Положении об Управлении.</w:t>
      </w:r>
    </w:p>
    <w:p w:rsidR="00A02ECF" w:rsidRDefault="006104A2">
      <w:pPr>
        <w:spacing w:before="120"/>
        <w:jc w:val="both"/>
        <w:rPr>
          <w:b/>
          <w:bCs/>
          <w:i/>
          <w:iCs/>
        </w:rPr>
      </w:pPr>
      <w:r>
        <w:rPr>
          <w:b/>
          <w:bCs/>
          <w:i/>
          <w:iCs/>
        </w:rPr>
        <w:t>Основными задачами Управления являются:</w:t>
      </w:r>
    </w:p>
    <w:p w:rsidR="00A02ECF" w:rsidRDefault="006104A2">
      <w:pPr>
        <w:spacing w:before="120"/>
        <w:ind w:firstLine="142"/>
        <w:jc w:val="both"/>
        <w:rPr>
          <w:b/>
          <w:bCs/>
          <w:i/>
          <w:iCs/>
        </w:rPr>
      </w:pPr>
      <w:r>
        <w:rPr>
          <w:b/>
          <w:bCs/>
          <w:i/>
          <w:iCs/>
        </w:rPr>
        <w:t>обеспечение реализации единой политики ПАО «Газпром» и организаций Группы Газпром в области управления рисками. Методологическое обеспечение развития системы управления рисками. Формирование реестра ключевых рисков ПАО «Газпром», сводной отчетности по рискам для представления Совету директоров ПАО «Газпром», Комитету Совета директоров ПАО «Газпром» по аудиту, Председателю Правления и Правлению ПАО «Газпром»;</w:t>
      </w:r>
    </w:p>
    <w:p w:rsidR="00A02ECF" w:rsidRDefault="006104A2">
      <w:pPr>
        <w:spacing w:before="120"/>
        <w:ind w:firstLine="142"/>
        <w:jc w:val="both"/>
        <w:rPr>
          <w:b/>
          <w:bCs/>
          <w:i/>
          <w:iCs/>
        </w:rPr>
      </w:pPr>
      <w:r>
        <w:rPr>
          <w:b/>
          <w:bCs/>
          <w:i/>
          <w:iCs/>
        </w:rPr>
        <w:t>формирование единой политики ПАО «Газпром» и организаций Группы Газпром в области управления операционными рисками и обеспечение ее реализации. Методологическое обеспечение развития и функционирования процессов управления операционными рисками;</w:t>
      </w:r>
    </w:p>
    <w:p w:rsidR="00A02ECF" w:rsidRDefault="006104A2">
      <w:pPr>
        <w:spacing w:before="120"/>
        <w:ind w:firstLine="142"/>
        <w:jc w:val="both"/>
        <w:rPr>
          <w:b/>
          <w:bCs/>
          <w:i/>
          <w:iCs/>
        </w:rPr>
      </w:pPr>
      <w:r>
        <w:rPr>
          <w:b/>
          <w:bCs/>
          <w:i/>
          <w:iCs/>
        </w:rPr>
        <w:t>формирование единой политики ПАО «Газпром» и организаций Группы Газпром в области управления финансовыми, рыночными и кредитными рисками и обеспечение ее реализации. Методологическое обеспечение развития и функционирования процессов управления финансовыми, рыночными и кредитными рисками.</w:t>
      </w:r>
    </w:p>
    <w:p w:rsidR="00A02ECF" w:rsidRDefault="006104A2">
      <w:pPr>
        <w:spacing w:before="120"/>
        <w:jc w:val="both"/>
        <w:rPr>
          <w:b/>
          <w:bCs/>
          <w:i/>
          <w:iCs/>
        </w:rPr>
      </w:pPr>
      <w:r>
        <w:rPr>
          <w:b/>
          <w:bCs/>
          <w:i/>
          <w:iCs/>
        </w:rPr>
        <w:t>Деятельность Управления функционально отделена от деятельности, относимой к функционалу внутреннего аудита, контрольно-ревизионных подразделений и подразделения, осуществляющего функции по обеспечению экономической безопасности.</w:t>
      </w:r>
    </w:p>
    <w:p w:rsidR="00A02ECF" w:rsidRDefault="006104A2">
      <w:pPr>
        <w:spacing w:before="120"/>
        <w:jc w:val="both"/>
        <w:rPr>
          <w:b/>
          <w:bCs/>
          <w:i/>
          <w:iCs/>
        </w:rPr>
      </w:pPr>
      <w:r>
        <w:rPr>
          <w:b/>
          <w:bCs/>
          <w:i/>
          <w:iCs/>
        </w:rPr>
        <w:t>Управление на регулярной основе проводит обучение работников структурных подразделений ПАО «Газпром» и организаций Группы Газпром для обеспечения формирования единого подхода к управлению рисками и внутреннего контроля, повышения культуры управления рисками в Группе Газпром.</w:t>
      </w:r>
    </w:p>
    <w:p w:rsidR="00A02ECF" w:rsidRDefault="006104A2">
      <w:pPr>
        <w:spacing w:before="120"/>
        <w:jc w:val="both"/>
        <w:rPr>
          <w:b/>
          <w:bCs/>
          <w:i/>
          <w:iCs/>
        </w:rPr>
      </w:pPr>
      <w:r>
        <w:rPr>
          <w:b/>
          <w:bCs/>
          <w:i/>
          <w:iCs/>
        </w:rPr>
        <w:t>В целях поддержания высокой культуры управления рисками и внутреннего контроля, а также развития профессиональных компетенций и дополнительных навыков работников ПАО «Газпром» и организаций Группы Газпром были реализованы программы повышения квалификации, в которых приняли участие работники организаций Группы Газпром. В 2025 году организации Группы Газпром проходят обучение по разработанному Управлением электронному курсу «Система внутреннего контроля: практические основы построения, поддержания и развития». Проводятся консультационные вебинары по вопросам функционирования системы управления рисками и внутреннего контроля (далее – СУРиВК). Также в Группе Газпром созданы эффективная координация взаимодействия, включая вертикальное и горизонтальное взаимодействие между участниками СУРиВК, а также взаимодействие с внешними заинтересованными сторонами.</w:t>
      </w:r>
    </w:p>
    <w:p w:rsidR="00A02ECF" w:rsidRDefault="006104A2">
      <w:pPr>
        <w:spacing w:before="120"/>
        <w:jc w:val="both"/>
        <w:rPr>
          <w:b/>
          <w:bCs/>
          <w:i/>
          <w:iCs/>
        </w:rPr>
      </w:pPr>
      <w:r>
        <w:rPr>
          <w:b/>
          <w:bCs/>
          <w:i/>
          <w:iCs/>
        </w:rPr>
        <w:t>Организована консультационная линия по вопросам управления рисками и внутреннего контроля. В отчетном периоде в рамках работы консультационной линии оказывалась консультационная поддержка структурным подразделениям ПАО «Газпром» и организациям Группы Газпром, в том числе по вопросам реализации, развития и совершенствования СУРиВК при изменении бизнес-</w:t>
      </w:r>
      <w:r>
        <w:rPr>
          <w:b/>
          <w:bCs/>
          <w:i/>
          <w:iCs/>
        </w:rPr>
        <w:lastRenderedPageBreak/>
        <w:t>процессов, устранения недостатков в системе внутреннего контроля, предупреждения повторной реализации рисков.</w:t>
      </w:r>
    </w:p>
    <w:p w:rsidR="00A02ECF" w:rsidRDefault="006104A2">
      <w:pPr>
        <w:spacing w:before="120"/>
        <w:jc w:val="both"/>
        <w:rPr>
          <w:b/>
          <w:bCs/>
          <w:i/>
          <w:iCs/>
        </w:rPr>
      </w:pPr>
      <w:r>
        <w:rPr>
          <w:b/>
          <w:bCs/>
          <w:i/>
          <w:iCs/>
        </w:rPr>
        <w:t>СУРиВК является частью корпоративного управления в ПАО «Газпром», распространяется на всю деятельность ПАО «Газпром» и организаций Группы Газпром, включает все уровни управления и виды деятельности, риски ПАО</w:t>
      </w:r>
      <w:r>
        <w:rPr>
          <w:b/>
          <w:bCs/>
          <w:i/>
          <w:iCs/>
          <w:lang w:val="en-US"/>
        </w:rPr>
        <w:t> </w:t>
      </w:r>
      <w:r>
        <w:rPr>
          <w:b/>
          <w:bCs/>
          <w:i/>
          <w:iCs/>
        </w:rPr>
        <w:t>«Газпром» и организаций Группы Газпром и интегрирована с действующими системами планирования, управления проектами и программами, производственной безопасностью и другими системами.</w:t>
      </w:r>
    </w:p>
    <w:p w:rsidR="00A02ECF" w:rsidRDefault="006104A2">
      <w:pPr>
        <w:spacing w:before="120"/>
        <w:jc w:val="both"/>
        <w:rPr>
          <w:b/>
          <w:bCs/>
          <w:i/>
          <w:iCs/>
        </w:rPr>
      </w:pPr>
      <w:r>
        <w:rPr>
          <w:b/>
          <w:bCs/>
          <w:i/>
          <w:iCs/>
        </w:rPr>
        <w:t xml:space="preserve">На постоянной основе проводится работа по совершенствованию СУРиВК ПАО «Газпром» и организаций Группы Газпром, которая включает в том числе следующие направления:  </w:t>
      </w:r>
    </w:p>
    <w:p w:rsidR="00A02ECF" w:rsidRDefault="006104A2">
      <w:pPr>
        <w:pStyle w:val="ConsPlusNormal"/>
        <w:spacing w:before="120"/>
        <w:ind w:left="0" w:firstLine="346"/>
        <w:jc w:val="both"/>
        <w:rPr>
          <w:b/>
          <w:bCs/>
          <w:i/>
          <w:iCs/>
          <w:sz w:val="20"/>
          <w:szCs w:val="20"/>
        </w:rPr>
      </w:pPr>
      <w:r>
        <w:rPr>
          <w:b/>
          <w:bCs/>
          <w:i/>
          <w:iCs/>
          <w:sz w:val="20"/>
          <w:szCs w:val="20"/>
        </w:rPr>
        <w:t xml:space="preserve">развитие нормативной и методологической базы по централизованному управлению рыночными, кредитными, финансовыми и операционными рисками; </w:t>
      </w:r>
    </w:p>
    <w:p w:rsidR="00A02ECF" w:rsidRDefault="006104A2">
      <w:pPr>
        <w:pStyle w:val="ConsPlusNormal"/>
        <w:spacing w:before="120"/>
        <w:ind w:left="0" w:firstLine="346"/>
        <w:jc w:val="both"/>
        <w:rPr>
          <w:b/>
          <w:bCs/>
          <w:i/>
          <w:iCs/>
          <w:sz w:val="20"/>
          <w:szCs w:val="20"/>
        </w:rPr>
      </w:pPr>
      <w:r>
        <w:rPr>
          <w:b/>
          <w:bCs/>
          <w:i/>
          <w:iCs/>
          <w:sz w:val="20"/>
          <w:szCs w:val="20"/>
        </w:rPr>
        <w:t>координация деятельности по развитию и внедрению СУРиВК в структурных подразделениях ПАО «Газпром» и организациях Группы Газпром;</w:t>
      </w:r>
    </w:p>
    <w:p w:rsidR="00A02ECF" w:rsidRDefault="006104A2">
      <w:pPr>
        <w:pStyle w:val="ConsPlusNormal"/>
        <w:spacing w:before="120"/>
        <w:ind w:left="0" w:firstLine="346"/>
        <w:jc w:val="both"/>
        <w:rPr>
          <w:b/>
          <w:bCs/>
          <w:i/>
          <w:iCs/>
          <w:sz w:val="20"/>
          <w:szCs w:val="20"/>
        </w:rPr>
      </w:pPr>
      <w:r>
        <w:rPr>
          <w:b/>
          <w:bCs/>
          <w:i/>
          <w:iCs/>
          <w:sz w:val="20"/>
          <w:szCs w:val="20"/>
        </w:rPr>
        <w:t>развитие культуры управления рисками и внутреннего контроля;</w:t>
      </w:r>
    </w:p>
    <w:p w:rsidR="00A02ECF" w:rsidRDefault="006104A2">
      <w:pPr>
        <w:pStyle w:val="ConsPlusNormal"/>
        <w:spacing w:before="120"/>
        <w:ind w:left="0" w:firstLine="346"/>
        <w:jc w:val="both"/>
        <w:rPr>
          <w:b/>
          <w:bCs/>
          <w:i/>
          <w:iCs/>
          <w:sz w:val="20"/>
          <w:szCs w:val="20"/>
        </w:rPr>
      </w:pPr>
      <w:r>
        <w:rPr>
          <w:b/>
          <w:bCs/>
          <w:i/>
          <w:iCs/>
          <w:sz w:val="20"/>
          <w:szCs w:val="20"/>
        </w:rPr>
        <w:t>автоматизация процессов сбора, систематизации и анализа информации о рисках и процедурах внутреннего контроля.</w:t>
      </w:r>
    </w:p>
    <w:p w:rsidR="00A02ECF" w:rsidRDefault="006104A2">
      <w:pPr>
        <w:pStyle w:val="ConsPlusNormal"/>
        <w:spacing w:before="120"/>
        <w:ind w:left="0"/>
        <w:jc w:val="both"/>
        <w:rPr>
          <w:b/>
          <w:bCs/>
          <w:i/>
          <w:iCs/>
          <w:sz w:val="20"/>
          <w:szCs w:val="20"/>
        </w:rPr>
      </w:pPr>
      <w:r>
        <w:rPr>
          <w:b/>
          <w:bCs/>
          <w:i/>
          <w:iCs/>
          <w:sz w:val="20"/>
          <w:szCs w:val="20"/>
        </w:rPr>
        <w:t>В рамках Стратегии цифровой трансформации ПАО «Газпром» (Группы Газпром) (утверждена решением Совета директоров ПАО «Газпром» от 03</w:t>
      </w:r>
      <w:r>
        <w:rPr>
          <w:b/>
          <w:bCs/>
          <w:i/>
          <w:iCs/>
          <w:sz w:val="20"/>
          <w:szCs w:val="20"/>
          <w:lang w:val="en-US"/>
        </w:rPr>
        <w:t> </w:t>
      </w:r>
      <w:r>
        <w:rPr>
          <w:b/>
          <w:bCs/>
          <w:i/>
          <w:iCs/>
          <w:sz w:val="20"/>
          <w:szCs w:val="20"/>
        </w:rPr>
        <w:t xml:space="preserve">апреля 2024 г. № 4065) предусмотрена реализация проекта по созданию информационно-управляющей системы управления рисками. Управлением разработаны функциональные требования к созданию информационно-управляющей системы управления рисками (далее – ИУС УР), позволяющие автоматизировать процессы составления, сбора </w:t>
      </w:r>
      <w:r>
        <w:rPr>
          <w:b/>
          <w:bCs/>
          <w:i/>
          <w:iCs/>
          <w:sz w:val="20"/>
          <w:szCs w:val="20"/>
        </w:rPr>
        <w:br/>
        <w:t xml:space="preserve">и систематизации корпоративной статистической годовой и периодической отчетности по рискам. </w:t>
      </w:r>
      <w:r>
        <w:rPr>
          <w:b/>
          <w:bCs/>
          <w:i/>
          <w:iCs/>
          <w:sz w:val="20"/>
          <w:szCs w:val="20"/>
        </w:rPr>
        <w:br/>
        <w:t>В 2025 году продолжена работа по автоматизации процесса управления рисками и внутреннего контроля с учётом перехода на использование отечественного программного обеспечения и внедрения передовых цифровых технологий и поэтапной реализации проекта создания ИУС УР.</w:t>
      </w:r>
    </w:p>
    <w:p w:rsidR="00A02ECF" w:rsidRDefault="006104A2">
      <w:pPr>
        <w:spacing w:before="120"/>
        <w:jc w:val="both"/>
        <w:rPr>
          <w:b/>
          <w:i/>
        </w:rPr>
      </w:pPr>
      <w:r>
        <w:rPr>
          <w:b/>
          <w:i/>
        </w:rPr>
        <w:t xml:space="preserve">В соответствии с Федеральным законом № 208-ФЗ «Об акционерных обществах», Политикой управления рисками и внутреннего контроля ПАО «Газпром», утвержденной решением Совета директоров ПАО «Газпром» от 25 декабря 2018 г. № 3195, методологическими и организационно-распорядительными документами ПАО «Газпром» проведена внутренняя оценка, которая подтвердила надежность и эффективность системы управления рисками и внутреннего контроля ПАО «Газпром». Результаты оценки включены в состав материалов для акционеров ПАО «Газпром» (дата окончания приема бюллетеней для голосования – 26 июня 2025 г.). </w:t>
      </w:r>
    </w:p>
    <w:p w:rsidR="00A02ECF" w:rsidRDefault="006104A2">
      <w:pPr>
        <w:spacing w:before="120"/>
        <w:jc w:val="both"/>
        <w:rPr>
          <w:rFonts w:cs="Courier New"/>
          <w:b/>
          <w:bCs/>
          <w:i/>
          <w:iCs/>
        </w:rPr>
      </w:pPr>
      <w:r>
        <w:rPr>
          <w:rFonts w:cs="Courier New"/>
          <w:b/>
          <w:bCs/>
          <w:i/>
          <w:iCs/>
        </w:rPr>
        <w:t>Рейтинговое агентство «Эксперт РА» 04 марта 2025 г. подтвердило рейтинг качества управления на уровне А++.gq: «Процесс управления рисками и внутреннего контроля в компании регламентирован.».</w:t>
      </w:r>
      <w:r>
        <w:rPr>
          <w:b/>
          <w:bCs/>
          <w:i/>
          <w:iCs/>
        </w:rPr>
        <w:t xml:space="preserve"> </w:t>
      </w:r>
    </w:p>
    <w:p w:rsidR="00A02ECF" w:rsidRDefault="006104A2">
      <w:pPr>
        <w:spacing w:before="120"/>
        <w:jc w:val="both"/>
        <w:rPr>
          <w:b/>
          <w:bCs/>
          <w:i/>
          <w:iCs/>
        </w:rPr>
      </w:pPr>
      <w:r>
        <w:rPr>
          <w:b/>
          <w:bCs/>
          <w:i/>
          <w:iCs/>
        </w:rPr>
        <w:t xml:space="preserve">Правление ПАО «Газпром» </w:t>
      </w:r>
      <w:r>
        <w:rPr>
          <w:rFonts w:cs="Courier New"/>
          <w:b/>
          <w:bCs/>
          <w:i/>
          <w:iCs/>
        </w:rPr>
        <w:t xml:space="preserve">в отчетном периоде </w:t>
      </w:r>
      <w:r>
        <w:rPr>
          <w:b/>
          <w:bCs/>
          <w:i/>
          <w:iCs/>
        </w:rPr>
        <w:t>рассмотрело (постановление от 03 июня 2025 г. № 23), Комитет Совета директоров ПАО «Газпром» по аудиту одобрил (протокол заседания от 06 июня 2025 г. № 133) и Совет директоров ПАО «Газпром» утвердил (решение от 25 июня 2025 г. № 4229) отчёт «О корпоративной системе управления рисками и внутреннего контроля в ПАО «Газпром», оценке и актуализации рисков на периодической основе». Совет директоров ПАО «Газпром» поручил продолжить работу по развитию корпоративной системы управления рисками и внутреннего контроля.</w:t>
      </w:r>
    </w:p>
    <w:p w:rsidR="00A02ECF" w:rsidRDefault="00A02ECF">
      <w:pPr>
        <w:jc w:val="both"/>
      </w:pPr>
    </w:p>
    <w:p w:rsidR="00A02ECF" w:rsidRDefault="006104A2">
      <w:pPr>
        <w:jc w:val="both"/>
      </w:pPr>
      <w:r>
        <w:t>Сведения о наличии структурного подразделения (должностного лица), ответственного за организацию и осуществление внутреннего аудита, а также задачах и функциях указанного структурного подразделения (должностного лица):</w:t>
      </w:r>
    </w:p>
    <w:p w:rsidR="00A02ECF" w:rsidRDefault="006104A2">
      <w:pPr>
        <w:spacing w:before="120"/>
        <w:jc w:val="both"/>
        <w:rPr>
          <w:b/>
          <w:i/>
        </w:rPr>
      </w:pPr>
      <w:r>
        <w:rPr>
          <w:b/>
          <w:i/>
        </w:rPr>
        <w:t>В организационную структуру Общества входит Департамент ПАО «Газпром» (М.И. Миронова) (далее – Департамент) (приказ ПАО «Газпром» от 18.02.2020 № 67). Деятельность Департамента регламентируется Положением о Департаменте, утвержденным приказом Общества от 29.06.2020 № 266.</w:t>
      </w:r>
    </w:p>
    <w:p w:rsidR="00A02ECF" w:rsidRDefault="006104A2">
      <w:pPr>
        <w:spacing w:before="120"/>
        <w:jc w:val="both"/>
        <w:rPr>
          <w:b/>
          <w:bCs/>
          <w:i/>
          <w:iCs/>
        </w:rPr>
      </w:pPr>
      <w:r>
        <w:rPr>
          <w:b/>
          <w:bCs/>
          <w:i/>
          <w:iCs/>
        </w:rPr>
        <w:t>Основной задачей Департамента является представление Совету директоров и руководству Общества независимых и объективных гарантий и консультаций, направленных на совершенствование деятельности Общества. Департамент содействует достижению целей Общества, используя систематизированный и последовательный подход к оценке и повышению эффективности процессов управления рисками, контроля и корпоративного управления.</w:t>
      </w:r>
    </w:p>
    <w:p w:rsidR="00A02ECF" w:rsidRDefault="006104A2">
      <w:pPr>
        <w:spacing w:before="120"/>
        <w:jc w:val="both"/>
        <w:rPr>
          <w:b/>
          <w:bCs/>
          <w:i/>
          <w:iCs/>
        </w:rPr>
      </w:pPr>
      <w:r>
        <w:rPr>
          <w:b/>
          <w:bCs/>
          <w:i/>
          <w:iCs/>
        </w:rPr>
        <w:lastRenderedPageBreak/>
        <w:t>Для выполнения указанной задачи Департамент осуществляет следующие основные функции:</w:t>
      </w:r>
    </w:p>
    <w:p w:rsidR="00A02ECF" w:rsidRDefault="006104A2">
      <w:pPr>
        <w:spacing w:before="40"/>
        <w:ind w:firstLine="284"/>
        <w:jc w:val="both"/>
        <w:rPr>
          <w:b/>
          <w:bCs/>
          <w:i/>
          <w:iCs/>
        </w:rPr>
      </w:pPr>
      <w:r>
        <w:rPr>
          <w:b/>
          <w:bCs/>
          <w:i/>
          <w:iCs/>
        </w:rPr>
        <w:t>разрабатывает и представляет на утверждение Совету директоров план работы Департамента;</w:t>
      </w:r>
    </w:p>
    <w:p w:rsidR="00A02ECF" w:rsidRDefault="006104A2">
      <w:pPr>
        <w:spacing w:before="40"/>
        <w:ind w:firstLine="284"/>
        <w:jc w:val="both"/>
        <w:rPr>
          <w:b/>
          <w:bCs/>
          <w:i/>
          <w:iCs/>
        </w:rPr>
      </w:pPr>
      <w:r>
        <w:rPr>
          <w:b/>
          <w:bCs/>
          <w:i/>
          <w:iCs/>
        </w:rPr>
        <w:t>организует и проводит в установленном порядке внутренние аудиторские проверки (далее – Проверки) структурных подразделений и организаций Общества;</w:t>
      </w:r>
    </w:p>
    <w:p w:rsidR="00A02ECF" w:rsidRDefault="006104A2">
      <w:pPr>
        <w:spacing w:before="40"/>
        <w:ind w:firstLine="284"/>
        <w:jc w:val="both"/>
        <w:rPr>
          <w:b/>
          <w:bCs/>
          <w:i/>
          <w:iCs/>
        </w:rPr>
      </w:pPr>
      <w:r>
        <w:rPr>
          <w:b/>
          <w:bCs/>
          <w:i/>
          <w:iCs/>
        </w:rPr>
        <w:t>осуществляет независимую и объективную оценку надежности и эффективности системы внутреннего контроля, управления рисками и оценку корпоративного управления Общества;</w:t>
      </w:r>
    </w:p>
    <w:p w:rsidR="00A02ECF" w:rsidRDefault="006104A2">
      <w:pPr>
        <w:spacing w:before="40"/>
        <w:ind w:firstLine="284"/>
        <w:jc w:val="both"/>
        <w:rPr>
          <w:b/>
          <w:bCs/>
          <w:i/>
          <w:iCs/>
        </w:rPr>
      </w:pPr>
      <w:r>
        <w:rPr>
          <w:b/>
          <w:bCs/>
          <w:i/>
          <w:iCs/>
        </w:rPr>
        <w:t>разрабатывает и представляет руководству Общества предложения по устранению нарушений и недостатков, причин их возникновения, а также рекомендаций по совершенствованию деятельности Общества;</w:t>
      </w:r>
    </w:p>
    <w:p w:rsidR="00A02ECF" w:rsidRDefault="006104A2">
      <w:pPr>
        <w:spacing w:before="40"/>
        <w:ind w:firstLine="284"/>
        <w:jc w:val="both"/>
        <w:rPr>
          <w:b/>
          <w:bCs/>
          <w:i/>
          <w:iCs/>
        </w:rPr>
      </w:pPr>
      <w:r>
        <w:rPr>
          <w:b/>
          <w:bCs/>
          <w:i/>
          <w:iCs/>
        </w:rPr>
        <w:t>осуществляет контроль за полнотой и своевременностью исполнения поручений руководства Общества по результатам проведенных Проверок;</w:t>
      </w:r>
    </w:p>
    <w:p w:rsidR="00A02ECF" w:rsidRDefault="006104A2">
      <w:pPr>
        <w:spacing w:before="40"/>
        <w:ind w:firstLine="284"/>
        <w:jc w:val="both"/>
        <w:rPr>
          <w:b/>
          <w:bCs/>
          <w:i/>
          <w:iCs/>
        </w:rPr>
      </w:pPr>
      <w:r>
        <w:rPr>
          <w:b/>
          <w:bCs/>
          <w:i/>
          <w:iCs/>
        </w:rPr>
        <w:t>организует и совершенствует работу Департамента и подразделений внутреннего аудита организаций Общества (далее - ПВА);</w:t>
      </w:r>
    </w:p>
    <w:p w:rsidR="00A02ECF" w:rsidRDefault="006104A2">
      <w:pPr>
        <w:spacing w:before="40"/>
        <w:ind w:firstLine="284"/>
        <w:jc w:val="both"/>
        <w:rPr>
          <w:b/>
          <w:bCs/>
          <w:i/>
          <w:iCs/>
        </w:rPr>
      </w:pPr>
      <w:r>
        <w:rPr>
          <w:b/>
          <w:bCs/>
          <w:i/>
          <w:iCs/>
        </w:rPr>
        <w:t>осуществляет внедрение в Обществе и организациях Общества функционально-централизованной модели внутреннего аудита;</w:t>
      </w:r>
    </w:p>
    <w:p w:rsidR="00A02ECF" w:rsidRDefault="006104A2">
      <w:pPr>
        <w:spacing w:before="40"/>
        <w:ind w:firstLine="284"/>
        <w:jc w:val="both"/>
        <w:rPr>
          <w:b/>
          <w:bCs/>
          <w:i/>
          <w:iCs/>
        </w:rPr>
      </w:pPr>
      <w:r>
        <w:rPr>
          <w:b/>
          <w:bCs/>
          <w:i/>
          <w:iCs/>
        </w:rPr>
        <w:t>разрабатывает локальные нормативные акты Общества и методологические документы в</w:t>
      </w:r>
      <w:r>
        <w:rPr>
          <w:b/>
          <w:bCs/>
          <w:i/>
          <w:iCs/>
          <w:lang w:val="en-US"/>
        </w:rPr>
        <w:t> </w:t>
      </w:r>
      <w:r>
        <w:rPr>
          <w:b/>
          <w:bCs/>
          <w:i/>
          <w:iCs/>
        </w:rPr>
        <w:t>области внутреннего аудита для организации и совершенствования работы Департамента и ПВА.</w:t>
      </w:r>
    </w:p>
    <w:p w:rsidR="00A02ECF" w:rsidRDefault="00A02ECF"/>
    <w:p w:rsidR="00A02ECF" w:rsidRDefault="006104A2">
      <w:pPr>
        <w:spacing w:before="120"/>
        <w:jc w:val="both"/>
      </w:pPr>
      <w:r>
        <w:t>Сведения о наличии и компетенции ревизионной комиссии (ревизора):</w:t>
      </w:r>
    </w:p>
    <w:p w:rsidR="00A02ECF" w:rsidRDefault="006104A2">
      <w:pPr>
        <w:spacing w:before="100"/>
        <w:jc w:val="both"/>
        <w:rPr>
          <w:b/>
          <w:i/>
        </w:rPr>
      </w:pPr>
      <w:r>
        <w:rPr>
          <w:b/>
          <w:i/>
        </w:rPr>
        <w:t>В соответствии со статьей 48 Устава ПАО «Газпром» и Положением о Ревизионной комиссии ПАО «Газпром» в новой редакции, утвержденным годовым Общим собранием акционеров ПАО «Газпром» 26 июня 2020 г., для осуществления контроля за финансово-хозяйственной деятельностью Общества годовым Общим собранием акционеров избирается Ревизионная комиссия Общества. Ревизионная комиссия избирается на срок до следующего годового Общего собрания акционеров в количестве 5 человек.</w:t>
      </w:r>
    </w:p>
    <w:p w:rsidR="00A02ECF" w:rsidRDefault="006104A2">
      <w:pPr>
        <w:spacing w:before="100"/>
        <w:jc w:val="both"/>
        <w:rPr>
          <w:b/>
          <w:i/>
        </w:rPr>
      </w:pPr>
      <w:r>
        <w:rPr>
          <w:b/>
          <w:i/>
        </w:rPr>
        <w:t>Компетенция Ревизионной комиссии определяется Федеральным законом «Об акционерных обществах», а по вопросам, не предусмотренным Законом, - Уставом ПАО «Газпром».</w:t>
      </w:r>
    </w:p>
    <w:p w:rsidR="00A02ECF" w:rsidRDefault="006104A2">
      <w:pPr>
        <w:spacing w:before="100"/>
        <w:jc w:val="both"/>
        <w:rPr>
          <w:b/>
          <w:i/>
        </w:rPr>
      </w:pPr>
      <w:r>
        <w:rPr>
          <w:b/>
          <w:i/>
        </w:rPr>
        <w:t>К компетенции Ревизионной комиссии Общества относятся:</w:t>
      </w:r>
    </w:p>
    <w:p w:rsidR="00A02ECF" w:rsidRDefault="006104A2">
      <w:pPr>
        <w:spacing w:before="100"/>
        <w:jc w:val="both"/>
        <w:rPr>
          <w:b/>
          <w:i/>
        </w:rPr>
      </w:pPr>
      <w:r>
        <w:rPr>
          <w:b/>
          <w:i/>
        </w:rPr>
        <w:t>- осуществление проверки (ревизии) финансово-хозяйственной деятельности ПАО «Газпром» по итогам деятельности за год, а также во всякое время по своей инициативе, решению Общего собрания акционеров, Совета директоров ПАО «Газпром» или по требованию акционера (акционеров)</w:t>
      </w:r>
      <w:r>
        <w:rPr>
          <w:rFonts w:ascii="Century Gothic" w:hAnsi="Century Gothic"/>
          <w:b/>
          <w:i/>
        </w:rPr>
        <w:t xml:space="preserve"> </w:t>
      </w:r>
      <w:r>
        <w:rPr>
          <w:b/>
          <w:i/>
        </w:rPr>
        <w:t>ПАО «Газпром», владеющего в</w:t>
      </w:r>
      <w:r>
        <w:rPr>
          <w:b/>
          <w:i/>
          <w:lang w:val="en-US"/>
        </w:rPr>
        <w:t> </w:t>
      </w:r>
      <w:r>
        <w:rPr>
          <w:b/>
          <w:i/>
        </w:rPr>
        <w:t>совокупности не менее чем 10 процентами голосующих акций ПАО «Газпром»;</w:t>
      </w:r>
    </w:p>
    <w:p w:rsidR="00A02ECF" w:rsidRDefault="006104A2">
      <w:pPr>
        <w:spacing w:before="100"/>
        <w:jc w:val="both"/>
        <w:rPr>
          <w:b/>
          <w:i/>
        </w:rPr>
      </w:pPr>
      <w:r>
        <w:rPr>
          <w:b/>
          <w:i/>
        </w:rPr>
        <w:t>- подтверждение достоверности данных, содержащихся в годовом отчете Общества, годовой бухгалтерской отчетности и иных отчетах, а также других финансовых документов Общества;</w:t>
      </w:r>
    </w:p>
    <w:p w:rsidR="00A02ECF" w:rsidRDefault="006104A2">
      <w:pPr>
        <w:spacing w:before="100"/>
        <w:jc w:val="both"/>
        <w:rPr>
          <w:b/>
          <w:i/>
        </w:rPr>
      </w:pPr>
      <w:r>
        <w:rPr>
          <w:b/>
          <w:i/>
        </w:rPr>
        <w:t>- информирование о выявленных в ходе проверок фактах нарушения, установленных правовыми актами Российской Федерации порядка ведения бухгалтерского учета и представления финансовой отчетности, а также правовых актов Российской Федерации при осуществлении финансово-хозяйственной деятельности;</w:t>
      </w:r>
    </w:p>
    <w:p w:rsidR="00A02ECF" w:rsidRDefault="006104A2">
      <w:pPr>
        <w:spacing w:before="100"/>
        <w:jc w:val="both"/>
        <w:rPr>
          <w:b/>
          <w:i/>
        </w:rPr>
      </w:pPr>
      <w:r>
        <w:rPr>
          <w:b/>
          <w:i/>
        </w:rPr>
        <w:t>- проверка и анализ финансового состояния Общества, его платежеспособности, функционирования системы внутреннего контроля и системы управления финансовыми и операционными рисками, ликвидности активов, соотношения собственных и заемных средств;</w:t>
      </w:r>
    </w:p>
    <w:p w:rsidR="00A02ECF" w:rsidRDefault="006104A2">
      <w:pPr>
        <w:spacing w:before="100"/>
        <w:jc w:val="both"/>
        <w:rPr>
          <w:b/>
          <w:i/>
        </w:rPr>
      </w:pPr>
      <w:r>
        <w:rPr>
          <w:b/>
          <w:i/>
        </w:rPr>
        <w:t>- проверка своевременности и правильности ведения расчетных операций с контрагентами, бюджетом, а также по оплате труда, социальному страхованию, начислению и выплате дивидендов и других расчетных операций;</w:t>
      </w:r>
    </w:p>
    <w:p w:rsidR="00A02ECF" w:rsidRDefault="006104A2">
      <w:pPr>
        <w:spacing w:before="100"/>
        <w:jc w:val="both"/>
        <w:rPr>
          <w:b/>
          <w:i/>
        </w:rPr>
      </w:pPr>
      <w:r>
        <w:rPr>
          <w:b/>
          <w:i/>
        </w:rPr>
        <w:t>- проверка соблюдения при использовании материальных, трудовых и финансовых ресурсов в производственной и финансово-хозяйственной деятельности действующих норм и нормативов, утвержденных смет и других документов, регламентирующих деятельность Общества, а также выполнения решений Общего собрания акционеров;</w:t>
      </w:r>
    </w:p>
    <w:p w:rsidR="00A02ECF" w:rsidRDefault="006104A2">
      <w:pPr>
        <w:spacing w:before="100"/>
        <w:jc w:val="both"/>
        <w:rPr>
          <w:b/>
          <w:i/>
        </w:rPr>
      </w:pPr>
      <w:r>
        <w:rPr>
          <w:b/>
          <w:i/>
        </w:rPr>
        <w:t>- проверка законности хозяйственных операций Общества, осуществляемых по заключенным от имени Общества договорам и сделкам;</w:t>
      </w:r>
    </w:p>
    <w:p w:rsidR="00A02ECF" w:rsidRDefault="006104A2">
      <w:pPr>
        <w:spacing w:before="100"/>
        <w:jc w:val="both"/>
        <w:rPr>
          <w:b/>
          <w:i/>
        </w:rPr>
      </w:pPr>
      <w:r>
        <w:rPr>
          <w:b/>
          <w:i/>
        </w:rPr>
        <w:t>- проверка кассы и имущества Общества, эффективности использования активов и иных ресурсов Общества, выявление причин непроизводительных потерь и расходов;</w:t>
      </w:r>
    </w:p>
    <w:p w:rsidR="00A02ECF" w:rsidRDefault="006104A2">
      <w:pPr>
        <w:spacing w:before="100"/>
        <w:jc w:val="both"/>
        <w:rPr>
          <w:b/>
          <w:i/>
        </w:rPr>
      </w:pPr>
      <w:r>
        <w:rPr>
          <w:b/>
          <w:i/>
        </w:rPr>
        <w:t>- проверка выполнения предписаний по устранению нарушений и недостатков, ранее выявленных Ревизионной комиссией;</w:t>
      </w:r>
    </w:p>
    <w:p w:rsidR="00A02ECF" w:rsidRDefault="006104A2">
      <w:pPr>
        <w:spacing w:before="100"/>
        <w:jc w:val="both"/>
        <w:rPr>
          <w:b/>
          <w:i/>
        </w:rPr>
      </w:pPr>
      <w:r>
        <w:rPr>
          <w:b/>
          <w:i/>
        </w:rPr>
        <w:lastRenderedPageBreak/>
        <w:t>- проверка соответствия решений по вопросам финансово-хозяйственной деятельности, принимаемых Правлением и Советом директоров Общества, Уставу Общества и решениям Общего собрания акционеров.</w:t>
      </w:r>
    </w:p>
    <w:p w:rsidR="00A02ECF" w:rsidRDefault="00A02ECF"/>
    <w:p w:rsidR="00A02ECF" w:rsidRDefault="006104A2">
      <w:pPr>
        <w:jc w:val="both"/>
      </w:pPr>
      <w:r>
        <w:t xml:space="preserve">Сведения о политике эмитента в области управления рисками, внутреннего контроля и внутреннего аудита: </w:t>
      </w:r>
    </w:p>
    <w:p w:rsidR="00A02ECF" w:rsidRDefault="006104A2">
      <w:pPr>
        <w:spacing w:before="0"/>
        <w:jc w:val="both"/>
        <w:rPr>
          <w:b/>
          <w:bCs/>
          <w:i/>
          <w:iCs/>
        </w:rPr>
      </w:pPr>
      <w:r>
        <w:rPr>
          <w:b/>
          <w:bCs/>
          <w:i/>
          <w:iCs/>
        </w:rPr>
        <w:t>Корпоративная система управления рисками и внутреннего контроля ПАО «Газпром» соответствует требованиям Федерального закона от 26 декабря 1995 г. № 208-ФЗ «Об акционерных обществах», поручениям и указам Президента Российской Федерации, директивам Правительства Российской Федерации, рекомендациям Росимущества и Банка России, положениям Кодекса корпоративного управления, а также Политике управления рисками и внутреннего контроля, направленной на достижение поставленных перед Обществом целей.</w:t>
      </w:r>
    </w:p>
    <w:p w:rsidR="00A02ECF" w:rsidRDefault="006104A2">
      <w:pPr>
        <w:spacing w:before="0"/>
        <w:jc w:val="both"/>
        <w:rPr>
          <w:b/>
          <w:bCs/>
          <w:i/>
          <w:iCs/>
        </w:rPr>
      </w:pPr>
      <w:r>
        <w:rPr>
          <w:b/>
          <w:bCs/>
          <w:i/>
          <w:iCs/>
        </w:rPr>
        <w:t>Ключевые риски ПАО «Газпром» выявляются и оцениваются на регулярной основе, при этом меры реагирования позволяют удерживать уровень идентифицированных ключевых рисков в приемлемом для ПАО «Газпром» диапазоне.</w:t>
      </w:r>
    </w:p>
    <w:p w:rsidR="00A02ECF" w:rsidRDefault="006104A2">
      <w:pPr>
        <w:spacing w:before="0"/>
        <w:jc w:val="both"/>
        <w:rPr>
          <w:b/>
          <w:bCs/>
          <w:i/>
          <w:iCs/>
        </w:rPr>
      </w:pPr>
      <w:r>
        <w:rPr>
          <w:b/>
          <w:bCs/>
          <w:i/>
          <w:iCs/>
        </w:rPr>
        <w:t>Внутренний контроль ПАО «Газпром» обеспечивает достаточную уверенность в достижении целей бизнес-процессов, владельцами которых являются соответствующие структурные подразделения ПАО «Газпром».</w:t>
      </w:r>
    </w:p>
    <w:p w:rsidR="00A02ECF" w:rsidRDefault="006104A2">
      <w:pPr>
        <w:spacing w:before="120"/>
        <w:jc w:val="both"/>
        <w:rPr>
          <w:b/>
          <w:bCs/>
          <w:i/>
          <w:iCs/>
        </w:rPr>
      </w:pPr>
      <w:r>
        <w:rPr>
          <w:b/>
          <w:bCs/>
          <w:i/>
          <w:iCs/>
        </w:rPr>
        <w:t xml:space="preserve">Информация в области управления рисками и внутреннего контроля своевременно собирается и передается заинтересованным сторонам, что позволяет руководству ПАО «Газпром» принимать управленческие решения с учетом рисков. </w:t>
      </w:r>
    </w:p>
    <w:p w:rsidR="00A02ECF" w:rsidRDefault="006104A2">
      <w:pPr>
        <w:spacing w:before="120"/>
        <w:jc w:val="both"/>
        <w:rPr>
          <w:b/>
          <w:i/>
        </w:rPr>
      </w:pPr>
      <w:r>
        <w:rPr>
          <w:b/>
          <w:bCs/>
          <w:i/>
          <w:iCs/>
        </w:rPr>
        <w:t xml:space="preserve">Основным локальным нормативным актом ПАО «Газпром» в области управления рисками и внутреннего контроля является </w:t>
      </w:r>
      <w:r>
        <w:rPr>
          <w:b/>
          <w:i/>
        </w:rPr>
        <w:t>Политика управления рисками и внутреннего контроля ПАО «Газпром», утверждённая решением Совета директоров ПАО «Газпром» от 25 декабря 2018 г. №</w:t>
      </w:r>
      <w:r>
        <w:rPr>
          <w:b/>
          <w:i/>
          <w:lang w:val="en-US"/>
        </w:rPr>
        <w:t> </w:t>
      </w:r>
      <w:r>
        <w:rPr>
          <w:b/>
          <w:i/>
        </w:rPr>
        <w:t>3195 (далее – Политика УРиВК).</w:t>
      </w:r>
    </w:p>
    <w:p w:rsidR="00A02ECF" w:rsidRDefault="006104A2">
      <w:pPr>
        <w:spacing w:before="120"/>
        <w:jc w:val="both"/>
        <w:rPr>
          <w:b/>
          <w:bCs/>
          <w:i/>
          <w:iCs/>
        </w:rPr>
      </w:pPr>
      <w:r>
        <w:rPr>
          <w:b/>
          <w:bCs/>
          <w:i/>
          <w:iCs/>
        </w:rPr>
        <w:t>В Политике УРиВК, в том числе определены цели, задачи и принципы, а также участники СУРиВК.</w:t>
      </w:r>
    </w:p>
    <w:p w:rsidR="00A02ECF" w:rsidRDefault="006104A2">
      <w:pPr>
        <w:spacing w:before="120"/>
        <w:jc w:val="both"/>
        <w:rPr>
          <w:b/>
          <w:bCs/>
          <w:i/>
          <w:iCs/>
        </w:rPr>
      </w:pPr>
      <w:r>
        <w:rPr>
          <w:b/>
          <w:bCs/>
          <w:i/>
          <w:iCs/>
        </w:rPr>
        <w:t>Цели СУРиВК:</w:t>
      </w:r>
    </w:p>
    <w:p w:rsidR="00A02ECF" w:rsidRDefault="006104A2">
      <w:pPr>
        <w:pStyle w:val="ConsPlusNormal"/>
        <w:ind w:left="0" w:firstLine="284"/>
        <w:jc w:val="both"/>
        <w:rPr>
          <w:b/>
          <w:bCs/>
          <w:i/>
          <w:iCs/>
          <w:sz w:val="20"/>
          <w:szCs w:val="20"/>
        </w:rPr>
      </w:pPr>
      <w:r>
        <w:rPr>
          <w:b/>
          <w:bCs/>
          <w:i/>
          <w:iCs/>
          <w:sz w:val="20"/>
          <w:szCs w:val="20"/>
        </w:rPr>
        <w:t>обеспечение достаточной уверенности в достижении стоящих перед ПАО «Газпром» и организациями Группы Газпром целей;</w:t>
      </w:r>
    </w:p>
    <w:p w:rsidR="00A02ECF" w:rsidRDefault="006104A2">
      <w:pPr>
        <w:pStyle w:val="ConsPlusNormal"/>
        <w:spacing w:before="120"/>
        <w:ind w:left="0" w:firstLine="284"/>
        <w:jc w:val="both"/>
        <w:rPr>
          <w:b/>
          <w:bCs/>
          <w:i/>
          <w:iCs/>
          <w:sz w:val="20"/>
          <w:szCs w:val="20"/>
        </w:rPr>
      </w:pPr>
      <w:r>
        <w:rPr>
          <w:b/>
          <w:bCs/>
          <w:i/>
          <w:iCs/>
          <w:sz w:val="20"/>
          <w:szCs w:val="20"/>
        </w:rPr>
        <w:t>обеспечение надлежащего контроля финансово-хозяйственной деятельности ПАО «Газпром» и организаций Группы Газпром.</w:t>
      </w:r>
    </w:p>
    <w:p w:rsidR="00A02ECF" w:rsidRDefault="00A02ECF">
      <w:pPr>
        <w:pStyle w:val="ConsPlusNormal"/>
        <w:ind w:left="0"/>
        <w:jc w:val="both"/>
        <w:rPr>
          <w:b/>
          <w:bCs/>
          <w:i/>
          <w:iCs/>
          <w:sz w:val="20"/>
          <w:szCs w:val="20"/>
        </w:rPr>
      </w:pPr>
    </w:p>
    <w:p w:rsidR="00A02ECF" w:rsidRDefault="00A02ECF">
      <w:pPr>
        <w:pStyle w:val="ConsPlusNormal"/>
        <w:ind w:left="0"/>
        <w:jc w:val="both"/>
        <w:rPr>
          <w:b/>
          <w:bCs/>
          <w:i/>
          <w:iCs/>
          <w:sz w:val="20"/>
          <w:szCs w:val="20"/>
        </w:rPr>
      </w:pPr>
    </w:p>
    <w:p w:rsidR="00A02ECF" w:rsidRDefault="006104A2">
      <w:pPr>
        <w:pStyle w:val="ConsPlusNormal"/>
        <w:spacing w:before="120"/>
        <w:ind w:left="0"/>
        <w:jc w:val="both"/>
        <w:rPr>
          <w:b/>
          <w:bCs/>
          <w:i/>
          <w:iCs/>
          <w:sz w:val="20"/>
          <w:szCs w:val="20"/>
        </w:rPr>
      </w:pPr>
      <w:r>
        <w:rPr>
          <w:b/>
          <w:bCs/>
          <w:i/>
          <w:iCs/>
          <w:sz w:val="20"/>
          <w:szCs w:val="20"/>
        </w:rPr>
        <w:t>Задачи СУРиВК:</w:t>
      </w:r>
    </w:p>
    <w:p w:rsidR="00A02ECF" w:rsidRDefault="006104A2">
      <w:pPr>
        <w:pStyle w:val="ConsPlusNormal"/>
        <w:ind w:left="0" w:firstLine="284"/>
        <w:jc w:val="both"/>
        <w:rPr>
          <w:b/>
          <w:bCs/>
          <w:i/>
          <w:iCs/>
          <w:sz w:val="20"/>
          <w:szCs w:val="20"/>
        </w:rPr>
      </w:pPr>
      <w:r>
        <w:rPr>
          <w:b/>
          <w:bCs/>
          <w:i/>
          <w:iCs/>
          <w:sz w:val="20"/>
          <w:szCs w:val="20"/>
        </w:rPr>
        <w:t>поддержка систематических и непрерывных процессов идентификации и оценки рисков, влияющих на достижение целей ПАО «Газпром» и организаций Группы Газпром; сокращение числа непредвиденных событий, оказывающих негативное влияние на достижение целей ПАО «Газпром» и организаций Группы Газпром;</w:t>
      </w:r>
    </w:p>
    <w:p w:rsidR="00A02ECF" w:rsidRDefault="006104A2">
      <w:pPr>
        <w:pStyle w:val="ConsPlusNormal"/>
        <w:spacing w:before="120"/>
        <w:ind w:left="0" w:firstLine="284"/>
        <w:jc w:val="both"/>
        <w:rPr>
          <w:b/>
          <w:bCs/>
          <w:i/>
          <w:iCs/>
          <w:sz w:val="20"/>
          <w:szCs w:val="20"/>
        </w:rPr>
      </w:pPr>
      <w:r>
        <w:rPr>
          <w:b/>
          <w:bCs/>
          <w:i/>
          <w:iCs/>
          <w:sz w:val="20"/>
          <w:szCs w:val="20"/>
        </w:rPr>
        <w:t>эффективное управление рисками, совершенствование процессов принятия решений по реагированию на риски; повышение эффективности использования и распределения ресурсов на мероприятия по управлению рисками и выполнение процедур внутреннего контроля;</w:t>
      </w:r>
    </w:p>
    <w:p w:rsidR="00A02ECF" w:rsidRDefault="006104A2">
      <w:pPr>
        <w:pStyle w:val="ConsPlusNormal"/>
        <w:spacing w:before="120"/>
        <w:ind w:left="0" w:firstLine="284"/>
        <w:jc w:val="both"/>
        <w:rPr>
          <w:b/>
          <w:bCs/>
          <w:i/>
          <w:iCs/>
          <w:sz w:val="20"/>
          <w:szCs w:val="20"/>
        </w:rPr>
      </w:pPr>
      <w:r>
        <w:rPr>
          <w:b/>
          <w:bCs/>
          <w:i/>
          <w:iCs/>
          <w:sz w:val="20"/>
          <w:szCs w:val="20"/>
        </w:rPr>
        <w:t>разработка способов реагирования на риск, мониторинг рисков и выполнение мероприятий по управлению рисками, эффективное и оперативное реагирование на изменения факторов риска; систематизация и накопление информации о потенциальных и реализовавшихся рисках в ПАО «Газпром» и организациях Группы Газпром;</w:t>
      </w:r>
    </w:p>
    <w:p w:rsidR="00A02ECF" w:rsidRDefault="006104A2">
      <w:pPr>
        <w:pStyle w:val="ConsPlusNormal"/>
        <w:spacing w:before="120"/>
        <w:ind w:left="0" w:firstLine="284"/>
        <w:jc w:val="both"/>
        <w:rPr>
          <w:b/>
          <w:bCs/>
          <w:i/>
          <w:iCs/>
          <w:sz w:val="20"/>
          <w:szCs w:val="20"/>
        </w:rPr>
      </w:pPr>
      <w:r>
        <w:rPr>
          <w:b/>
          <w:bCs/>
          <w:i/>
          <w:iCs/>
          <w:sz w:val="20"/>
          <w:szCs w:val="20"/>
        </w:rPr>
        <w:t>установление предельно допустимых и пороговых уровней риска, снижение влияния рисков до допустимого уровня, обеспечение приемлемости принимаемых Группой Газпром рисков;</w:t>
      </w:r>
    </w:p>
    <w:p w:rsidR="00A02ECF" w:rsidRDefault="006104A2">
      <w:pPr>
        <w:pStyle w:val="ConsPlusNormal"/>
        <w:spacing w:before="120"/>
        <w:ind w:left="0" w:firstLine="284"/>
        <w:jc w:val="both"/>
        <w:rPr>
          <w:b/>
          <w:bCs/>
          <w:i/>
          <w:iCs/>
          <w:sz w:val="20"/>
          <w:szCs w:val="20"/>
        </w:rPr>
      </w:pPr>
      <w:r>
        <w:rPr>
          <w:b/>
          <w:bCs/>
          <w:i/>
          <w:iCs/>
          <w:sz w:val="20"/>
          <w:szCs w:val="20"/>
        </w:rPr>
        <w:t>разработка процедур внутреннего контроля (в том числе направленных на предупреждение и противодействие коррупции) для своевременного реагирования на риски; надлежащее и своевременное выполнение процедур внутреннего контроля;</w:t>
      </w:r>
    </w:p>
    <w:p w:rsidR="00A02ECF" w:rsidRDefault="006104A2">
      <w:pPr>
        <w:pStyle w:val="ConsPlusNormal"/>
        <w:spacing w:before="120"/>
        <w:ind w:left="0" w:firstLine="284"/>
        <w:jc w:val="both"/>
        <w:rPr>
          <w:b/>
          <w:bCs/>
          <w:i/>
          <w:iCs/>
          <w:sz w:val="20"/>
          <w:szCs w:val="20"/>
        </w:rPr>
      </w:pPr>
      <w:r>
        <w:rPr>
          <w:b/>
          <w:bCs/>
          <w:i/>
          <w:iCs/>
          <w:sz w:val="20"/>
          <w:szCs w:val="20"/>
        </w:rPr>
        <w:t>своевременное выявление недостатков, отклонений и нарушений процедур внутреннего контроля в деятельности ПАО «Газпром» и организаций Группы Газпром;</w:t>
      </w:r>
    </w:p>
    <w:p w:rsidR="00A02ECF" w:rsidRDefault="006104A2">
      <w:pPr>
        <w:pStyle w:val="ConsPlusNormal"/>
        <w:spacing w:before="120"/>
        <w:ind w:left="0" w:firstLine="284"/>
        <w:jc w:val="both"/>
        <w:rPr>
          <w:b/>
          <w:bCs/>
          <w:i/>
          <w:iCs/>
          <w:sz w:val="20"/>
          <w:szCs w:val="20"/>
        </w:rPr>
      </w:pPr>
      <w:r>
        <w:rPr>
          <w:b/>
          <w:bCs/>
          <w:i/>
          <w:iCs/>
          <w:sz w:val="20"/>
          <w:szCs w:val="20"/>
        </w:rPr>
        <w:t xml:space="preserve">распределение полномочий по управлению рисками и внутреннему контролю на всех уровнях управления в ПАО «Газпром» и организациях Группы Газпром; обеспечение построения в Группе Газпром оптимальной организационной структуры на основе принципа разделения обязанностей </w:t>
      </w:r>
      <w:r>
        <w:rPr>
          <w:b/>
          <w:bCs/>
          <w:i/>
          <w:iCs/>
          <w:sz w:val="20"/>
          <w:szCs w:val="20"/>
        </w:rPr>
        <w:lastRenderedPageBreak/>
        <w:t>между участниками СУРиВК;</w:t>
      </w:r>
    </w:p>
    <w:p w:rsidR="00A02ECF" w:rsidRDefault="006104A2">
      <w:pPr>
        <w:pStyle w:val="ConsPlusNormal"/>
        <w:spacing w:before="120"/>
        <w:ind w:left="0" w:firstLine="284"/>
        <w:jc w:val="both"/>
        <w:rPr>
          <w:b/>
          <w:bCs/>
          <w:i/>
          <w:iCs/>
          <w:sz w:val="20"/>
          <w:szCs w:val="20"/>
        </w:rPr>
      </w:pPr>
      <w:r>
        <w:rPr>
          <w:b/>
          <w:bCs/>
          <w:i/>
          <w:iCs/>
          <w:sz w:val="20"/>
          <w:szCs w:val="20"/>
        </w:rPr>
        <w:t>формирование методологической базы для функционирования СУРиВК, регламентирование и стандартизация процессов управления рисками и процедур внутреннего контроля; совершенствование локальных нормативных актов ПАО «Газпром» и организаций Группы Газпром в части включения и/или совершенствования процессов управления рисками и процедур внутреннего контроля на всех уровнях управления;</w:t>
      </w:r>
    </w:p>
    <w:p w:rsidR="00A02ECF" w:rsidRDefault="006104A2">
      <w:pPr>
        <w:pStyle w:val="ConsPlusNormal"/>
        <w:spacing w:before="120"/>
        <w:ind w:left="0" w:firstLine="284"/>
        <w:jc w:val="both"/>
        <w:rPr>
          <w:b/>
          <w:bCs/>
          <w:i/>
          <w:iCs/>
          <w:sz w:val="20"/>
          <w:szCs w:val="20"/>
        </w:rPr>
      </w:pPr>
      <w:r>
        <w:rPr>
          <w:b/>
          <w:bCs/>
          <w:i/>
          <w:iCs/>
          <w:sz w:val="20"/>
          <w:szCs w:val="20"/>
        </w:rPr>
        <w:t>создание и поддержка регулярной и унифицированной отчетности ПАО «Газпром» и организаций Группы Газпром по управлению рисками и внутреннему контролю; обеспечение целостности и прозрачности управленческой отчетности ПАО «Газпром» и организаций Группы Газпром, информирование органов управления ПАО «Газпром» и организаций Группы Газпром о ключевых рисках и мероприятиях по их снижению;</w:t>
      </w:r>
    </w:p>
    <w:p w:rsidR="00A02ECF" w:rsidRDefault="006104A2">
      <w:pPr>
        <w:pStyle w:val="ConsPlusNormal"/>
        <w:spacing w:before="120"/>
        <w:ind w:left="0" w:firstLine="284"/>
        <w:jc w:val="both"/>
        <w:rPr>
          <w:b/>
          <w:bCs/>
          <w:i/>
          <w:iCs/>
          <w:sz w:val="20"/>
          <w:szCs w:val="20"/>
        </w:rPr>
      </w:pPr>
      <w:r>
        <w:rPr>
          <w:b/>
          <w:bCs/>
          <w:i/>
          <w:iCs/>
          <w:sz w:val="20"/>
          <w:szCs w:val="20"/>
        </w:rPr>
        <w:t>создание условий для своевременной подготовки и предоставления отчетности, а также иной информации, подлежащей раскрытию в соответствии с законодательством;</w:t>
      </w:r>
    </w:p>
    <w:p w:rsidR="00A02ECF" w:rsidRDefault="006104A2">
      <w:pPr>
        <w:pStyle w:val="ConsPlusNormal"/>
        <w:spacing w:before="120"/>
        <w:ind w:left="0" w:firstLine="284"/>
        <w:jc w:val="both"/>
        <w:rPr>
          <w:b/>
          <w:bCs/>
          <w:i/>
          <w:iCs/>
          <w:sz w:val="20"/>
          <w:szCs w:val="20"/>
        </w:rPr>
      </w:pPr>
      <w:r>
        <w:rPr>
          <w:b/>
          <w:bCs/>
          <w:i/>
          <w:iCs/>
          <w:sz w:val="20"/>
          <w:szCs w:val="20"/>
        </w:rPr>
        <w:t>создание надежной информационной среды для планирования деятельности и принятия управленческих решений; обеспечение процессов принятия управленческих решений информацией о рисках, связанных с принимаемыми решениями;</w:t>
      </w:r>
    </w:p>
    <w:p w:rsidR="00A02ECF" w:rsidRDefault="006104A2">
      <w:pPr>
        <w:pStyle w:val="ConsPlusNormal"/>
        <w:spacing w:before="120"/>
        <w:ind w:left="0" w:firstLine="284"/>
        <w:jc w:val="both"/>
        <w:rPr>
          <w:b/>
          <w:bCs/>
          <w:i/>
          <w:iCs/>
          <w:sz w:val="20"/>
          <w:szCs w:val="20"/>
        </w:rPr>
      </w:pPr>
      <w:r>
        <w:rPr>
          <w:b/>
          <w:bCs/>
          <w:i/>
          <w:iCs/>
          <w:sz w:val="20"/>
          <w:szCs w:val="20"/>
        </w:rPr>
        <w:t>повышение устойчивости и эффективности финансово-хозяйственной деятельности ПАО «Газпром» и организаций Группы Газпром;</w:t>
      </w:r>
    </w:p>
    <w:p w:rsidR="00A02ECF" w:rsidRDefault="006104A2">
      <w:pPr>
        <w:pStyle w:val="ConsPlusNormal"/>
        <w:spacing w:before="120"/>
        <w:ind w:left="0" w:firstLine="284"/>
        <w:jc w:val="both"/>
        <w:rPr>
          <w:b/>
          <w:bCs/>
          <w:i/>
          <w:iCs/>
          <w:sz w:val="20"/>
          <w:szCs w:val="20"/>
        </w:rPr>
      </w:pPr>
      <w:r>
        <w:rPr>
          <w:b/>
          <w:bCs/>
          <w:i/>
          <w:iCs/>
          <w:sz w:val="20"/>
          <w:szCs w:val="20"/>
        </w:rPr>
        <w:t>обеспечение сохранности активов, а также эффективное использование и распределение ресурсов;</w:t>
      </w:r>
    </w:p>
    <w:p w:rsidR="00A02ECF" w:rsidRDefault="006104A2">
      <w:pPr>
        <w:pStyle w:val="ConsPlusNormal"/>
        <w:spacing w:before="120"/>
        <w:ind w:left="0" w:firstLine="284"/>
        <w:jc w:val="both"/>
        <w:rPr>
          <w:b/>
          <w:bCs/>
          <w:i/>
          <w:iCs/>
          <w:sz w:val="20"/>
          <w:szCs w:val="20"/>
        </w:rPr>
      </w:pPr>
      <w:r>
        <w:rPr>
          <w:b/>
          <w:bCs/>
          <w:i/>
          <w:iCs/>
          <w:sz w:val="20"/>
          <w:szCs w:val="20"/>
        </w:rPr>
        <w:t>повышение уровня управления рисками в ПАО «Газпром» и организациях Группы Газпром, укрепление доверия инвесторов и других заинтересованных лиц;</w:t>
      </w:r>
    </w:p>
    <w:p w:rsidR="00A02ECF" w:rsidRDefault="006104A2">
      <w:pPr>
        <w:pStyle w:val="ConsPlusNormal"/>
        <w:spacing w:before="120"/>
        <w:ind w:left="0" w:firstLine="284"/>
        <w:jc w:val="both"/>
        <w:rPr>
          <w:b/>
          <w:bCs/>
          <w:i/>
          <w:iCs/>
          <w:sz w:val="20"/>
          <w:szCs w:val="20"/>
        </w:rPr>
      </w:pPr>
      <w:r>
        <w:rPr>
          <w:b/>
          <w:bCs/>
          <w:i/>
          <w:iCs/>
          <w:sz w:val="20"/>
          <w:szCs w:val="20"/>
        </w:rPr>
        <w:t>обеспечение соблюдения законодательства и локальных нормативных актов ПАО «Газпром» и организаций Группы Газпром.</w:t>
      </w:r>
    </w:p>
    <w:p w:rsidR="00A02ECF" w:rsidRDefault="006104A2">
      <w:pPr>
        <w:pStyle w:val="ConsPlusNormal"/>
        <w:spacing w:before="120"/>
        <w:ind w:left="0"/>
        <w:jc w:val="both"/>
        <w:rPr>
          <w:b/>
          <w:bCs/>
          <w:i/>
          <w:iCs/>
          <w:sz w:val="20"/>
          <w:szCs w:val="20"/>
        </w:rPr>
      </w:pPr>
      <w:r>
        <w:rPr>
          <w:b/>
          <w:bCs/>
          <w:i/>
          <w:iCs/>
          <w:sz w:val="20"/>
          <w:szCs w:val="20"/>
        </w:rPr>
        <w:t>Организация СУРиВК осуществляется с соблюдением следующих основных принципов: системности (интегрированности), комплексности, соответствия (целям), достаточной уверенности, адаптивности и развития, существенности и ресурсного обеспечения, непрерывности (функционирования), взаимодействия и коллегиальности, ответственности, разделения обязанностей, оценки результатов, структурированности и оперативности, единой нормативной среды, экономической целесообразности, трех линий.</w:t>
      </w:r>
    </w:p>
    <w:p w:rsidR="00A02ECF" w:rsidRDefault="006104A2">
      <w:pPr>
        <w:spacing w:before="120"/>
        <w:jc w:val="both"/>
        <w:rPr>
          <w:b/>
          <w:bCs/>
          <w:i/>
          <w:iCs/>
        </w:rPr>
      </w:pPr>
      <w:r>
        <w:rPr>
          <w:b/>
          <w:bCs/>
          <w:i/>
          <w:iCs/>
        </w:rPr>
        <w:t>Участниками СУРиВК являются: Совет директоров ПАО «Газпром»; Комитет Совета директоров ПАО «Газпром» по аудиту; Председатель Правления ПАО</w:t>
      </w:r>
      <w:r>
        <w:rPr>
          <w:b/>
          <w:bCs/>
          <w:i/>
          <w:iCs/>
          <w:lang w:val="en-US"/>
        </w:rPr>
        <w:t> </w:t>
      </w:r>
      <w:r>
        <w:rPr>
          <w:b/>
          <w:bCs/>
          <w:i/>
          <w:iCs/>
        </w:rPr>
        <w:t>«Газпром»; Правление ПАО «Газпром»; Управление по развитию системы управления рисками и внутреннему контролю ПАО «Газпром»; структурные подразделения ПАО «Газпром», организации Группы Газпром; владельцы бизнес-процессов; владельцы (совладельцы) рисков; ответственные за выполнение мероприятий по управлению рисками; риск-координаторы; владельцы (совладельцы) процедур внутреннего контроля; ответственные за мониторинг выполнения процедур внутреннего контроля; центры ответственности в области управления рисками и внутреннего контроля.</w:t>
      </w:r>
    </w:p>
    <w:p w:rsidR="00A02ECF" w:rsidRDefault="006104A2">
      <w:pPr>
        <w:spacing w:before="120"/>
        <w:jc w:val="both"/>
        <w:rPr>
          <w:b/>
          <w:bCs/>
          <w:i/>
          <w:iCs/>
        </w:rPr>
      </w:pPr>
      <w:r>
        <w:rPr>
          <w:b/>
          <w:bCs/>
          <w:i/>
          <w:iCs/>
        </w:rPr>
        <w:t>В ПАО «Газпром» утверждены следующие документы в области управления рисками и внутреннего контроля:</w:t>
      </w:r>
    </w:p>
    <w:p w:rsidR="00A02ECF" w:rsidRDefault="006104A2">
      <w:pPr>
        <w:spacing w:before="60"/>
        <w:jc w:val="both"/>
        <w:rPr>
          <w:b/>
          <w:bCs/>
          <w:i/>
          <w:iCs/>
        </w:rPr>
      </w:pPr>
      <w:r>
        <w:rPr>
          <w:b/>
          <w:bCs/>
          <w:i/>
          <w:iCs/>
        </w:rPr>
        <w:t>Устав ПАО «Газпром»;</w:t>
      </w:r>
    </w:p>
    <w:p w:rsidR="00A02ECF" w:rsidRDefault="006104A2">
      <w:pPr>
        <w:spacing w:before="60"/>
        <w:jc w:val="both"/>
        <w:rPr>
          <w:b/>
          <w:bCs/>
          <w:i/>
          <w:iCs/>
        </w:rPr>
      </w:pPr>
      <w:r>
        <w:rPr>
          <w:b/>
          <w:bCs/>
          <w:i/>
          <w:iCs/>
        </w:rPr>
        <w:t>Политика управления рисками и внутреннего контроля ПАО «Газпром»;</w:t>
      </w:r>
    </w:p>
    <w:p w:rsidR="00A02ECF" w:rsidRDefault="006104A2">
      <w:pPr>
        <w:spacing w:before="60"/>
        <w:jc w:val="both"/>
        <w:rPr>
          <w:b/>
          <w:bCs/>
          <w:i/>
          <w:iCs/>
        </w:rPr>
      </w:pPr>
      <w:r>
        <w:rPr>
          <w:b/>
          <w:bCs/>
          <w:i/>
          <w:iCs/>
        </w:rPr>
        <w:t>Классификатор рисков ПАО «Газпром», его дочерних обществ и организаций;</w:t>
      </w:r>
    </w:p>
    <w:p w:rsidR="00A02ECF" w:rsidRDefault="006104A2">
      <w:pPr>
        <w:spacing w:before="60"/>
        <w:rPr>
          <w:b/>
          <w:bCs/>
          <w:i/>
          <w:iCs/>
        </w:rPr>
      </w:pPr>
      <w:r>
        <w:rPr>
          <w:b/>
          <w:bCs/>
          <w:i/>
          <w:iCs/>
        </w:rPr>
        <w:t>Приказ ПАО «Газпром» «О назначении риск-координаторов в администрации ПАО «Газпром»;</w:t>
      </w:r>
    </w:p>
    <w:p w:rsidR="00A02ECF" w:rsidRDefault="006104A2">
      <w:pPr>
        <w:spacing w:before="60"/>
        <w:rPr>
          <w:b/>
          <w:bCs/>
          <w:i/>
          <w:iCs/>
        </w:rPr>
      </w:pPr>
      <w:r>
        <w:rPr>
          <w:b/>
          <w:bCs/>
          <w:i/>
          <w:iCs/>
        </w:rPr>
        <w:t>Приказ ПАО «Газпром» «О формах корпоративной периодической и годовой статистической отчетности»;</w:t>
      </w:r>
    </w:p>
    <w:p w:rsidR="00A02ECF" w:rsidRDefault="006104A2">
      <w:pPr>
        <w:spacing w:before="120"/>
        <w:jc w:val="both"/>
        <w:rPr>
          <w:b/>
          <w:bCs/>
          <w:i/>
          <w:iCs/>
        </w:rPr>
      </w:pPr>
      <w:r>
        <w:rPr>
          <w:b/>
          <w:bCs/>
          <w:i/>
          <w:iCs/>
        </w:rPr>
        <w:t>Положения, определяющие подходы к управлению отдельными группами рисков:</w:t>
      </w:r>
    </w:p>
    <w:p w:rsidR="00A02ECF" w:rsidRDefault="006104A2">
      <w:pPr>
        <w:spacing w:before="60"/>
        <w:jc w:val="both"/>
        <w:rPr>
          <w:b/>
          <w:bCs/>
          <w:i/>
          <w:iCs/>
        </w:rPr>
      </w:pPr>
      <w:r>
        <w:rPr>
          <w:b/>
          <w:bCs/>
          <w:i/>
          <w:iCs/>
        </w:rPr>
        <w:t>- Положение о системе управления кредитным риском ПАО «Газпром», его дочерних обществ и организаций;</w:t>
      </w:r>
    </w:p>
    <w:p w:rsidR="00A02ECF" w:rsidRDefault="006104A2">
      <w:pPr>
        <w:spacing w:before="60"/>
        <w:jc w:val="both"/>
        <w:rPr>
          <w:b/>
          <w:bCs/>
          <w:i/>
          <w:iCs/>
        </w:rPr>
      </w:pPr>
      <w:r>
        <w:rPr>
          <w:b/>
          <w:bCs/>
          <w:i/>
          <w:iCs/>
        </w:rPr>
        <w:t>- Положение о системе управления операционными рисками Группы Газпром;</w:t>
      </w:r>
    </w:p>
    <w:p w:rsidR="00A02ECF" w:rsidRDefault="006104A2">
      <w:pPr>
        <w:spacing w:before="60"/>
        <w:jc w:val="both"/>
        <w:rPr>
          <w:b/>
          <w:bCs/>
          <w:i/>
          <w:iCs/>
        </w:rPr>
      </w:pPr>
      <w:r>
        <w:rPr>
          <w:b/>
          <w:bCs/>
          <w:i/>
          <w:iCs/>
        </w:rPr>
        <w:t>- Положение по управлению риском ликвидности Группы Газпром;</w:t>
      </w:r>
    </w:p>
    <w:p w:rsidR="00A02ECF" w:rsidRDefault="006104A2">
      <w:pPr>
        <w:spacing w:before="60"/>
        <w:jc w:val="both"/>
        <w:rPr>
          <w:b/>
          <w:bCs/>
          <w:i/>
          <w:iCs/>
        </w:rPr>
      </w:pPr>
      <w:r>
        <w:rPr>
          <w:b/>
          <w:bCs/>
          <w:i/>
          <w:iCs/>
        </w:rPr>
        <w:t>- Положение по управлению валютным риском Группы Газпром;</w:t>
      </w:r>
    </w:p>
    <w:p w:rsidR="00A02ECF" w:rsidRDefault="006104A2">
      <w:pPr>
        <w:spacing w:before="60"/>
        <w:jc w:val="both"/>
        <w:rPr>
          <w:b/>
          <w:bCs/>
          <w:i/>
          <w:iCs/>
        </w:rPr>
      </w:pPr>
      <w:r>
        <w:rPr>
          <w:b/>
          <w:bCs/>
          <w:i/>
          <w:iCs/>
        </w:rPr>
        <w:t>- Положение по управлению процентным риском Группы Газпром;</w:t>
      </w:r>
    </w:p>
    <w:p w:rsidR="00A02ECF" w:rsidRDefault="006104A2">
      <w:pPr>
        <w:spacing w:before="120"/>
        <w:jc w:val="both"/>
        <w:rPr>
          <w:b/>
          <w:bCs/>
          <w:i/>
          <w:iCs/>
        </w:rPr>
      </w:pPr>
      <w:r>
        <w:rPr>
          <w:b/>
          <w:bCs/>
          <w:i/>
          <w:iCs/>
        </w:rPr>
        <w:t xml:space="preserve">Методические документы в области управления рисками и внутреннего контроля (в том числе </w:t>
      </w:r>
      <w:r>
        <w:rPr>
          <w:b/>
          <w:bCs/>
          <w:i/>
          <w:iCs/>
        </w:rPr>
        <w:lastRenderedPageBreak/>
        <w:t>по управлению рисками c использованием качественных оценок, по ранжированию рисков, по проведению самооценки эффективности системы управления рисками, по разработке ключевых индикаторов риска, по расчету и мониторингу внутреннего кредитного рейтинга контрагентов и лимита кредитного риска и другие).</w:t>
      </w:r>
    </w:p>
    <w:p w:rsidR="00A02ECF" w:rsidRDefault="006104A2">
      <w:pPr>
        <w:spacing w:before="120"/>
        <w:jc w:val="both"/>
        <w:rPr>
          <w:b/>
          <w:bCs/>
          <w:i/>
          <w:iCs/>
        </w:rPr>
      </w:pPr>
      <w:r>
        <w:rPr>
          <w:b/>
          <w:bCs/>
          <w:i/>
          <w:iCs/>
        </w:rPr>
        <w:t>В 2025 году продолжилось активное внедрение методических документов в деятельность организаций Группы Газпром.</w:t>
      </w:r>
    </w:p>
    <w:p w:rsidR="00A02ECF" w:rsidRDefault="006104A2">
      <w:pPr>
        <w:spacing w:before="120"/>
        <w:jc w:val="both"/>
        <w:rPr>
          <w:b/>
          <w:bCs/>
          <w:i/>
          <w:iCs/>
        </w:rPr>
      </w:pPr>
      <w:r>
        <w:rPr>
          <w:b/>
          <w:bCs/>
          <w:i/>
          <w:iCs/>
        </w:rPr>
        <w:t>Внутренний аудит — деятельность Департамента и ПВА с целью представления Совету директоров и руководству Общества независимых и объективных информации и заключений, направленных на совершенствование деятельности Общества.</w:t>
      </w:r>
    </w:p>
    <w:p w:rsidR="00A02ECF" w:rsidRDefault="006104A2">
      <w:pPr>
        <w:tabs>
          <w:tab w:val="left" w:pos="284"/>
          <w:tab w:val="left" w:pos="426"/>
          <w:tab w:val="left" w:pos="5586"/>
          <w:tab w:val="left" w:pos="6379"/>
        </w:tabs>
        <w:spacing w:before="120"/>
        <w:jc w:val="both"/>
        <w:rPr>
          <w:b/>
          <w:i/>
        </w:rPr>
      </w:pPr>
      <w:r>
        <w:rPr>
          <w:b/>
          <w:i/>
        </w:rPr>
        <w:t>Основным локальным нормативном актом ПАО «Газпром», регулирующим деятельность в области внутреннего аудита, является Положение о внутреннем аудите ПАО «Газпром», утвержденное решением Совета директоров ПАО «Газпром» от 06.11.2015 №2621.</w:t>
      </w:r>
    </w:p>
    <w:p w:rsidR="00A02ECF" w:rsidRDefault="00A02ECF"/>
    <w:p w:rsidR="00A02ECF" w:rsidRDefault="006104A2">
      <w:pPr>
        <w:jc w:val="both"/>
        <w:rPr>
          <w:rFonts w:eastAsia="Calibri"/>
        </w:rPr>
      </w:pPr>
      <w:r>
        <w:rPr>
          <w:rFonts w:eastAsia="Calibri"/>
        </w:rPr>
        <w:t>Сведения о наличии внутреннего документа эмитента, устанавливающего правила по предотвращению неправомерного использования конфиденциальной и инсайдерской информации:</w:t>
      </w:r>
    </w:p>
    <w:p w:rsidR="00A02ECF" w:rsidRDefault="006104A2">
      <w:pPr>
        <w:spacing w:before="120"/>
        <w:jc w:val="both"/>
        <w:rPr>
          <w:rStyle w:val="Subst"/>
        </w:rPr>
      </w:pPr>
      <w:r>
        <w:rPr>
          <w:rStyle w:val="Subst"/>
        </w:rPr>
        <w:t>Эмитентом утверждены внутренние документы эмитента, устанавливающие правила по предотвращению неправомерного использования конфиденциальной и инсайдерской информации:</w:t>
      </w:r>
    </w:p>
    <w:p w:rsidR="00A02ECF" w:rsidRDefault="006104A2">
      <w:pPr>
        <w:spacing w:before="120"/>
        <w:jc w:val="both"/>
        <w:rPr>
          <w:rStyle w:val="Subst"/>
        </w:rPr>
      </w:pPr>
      <w:r>
        <w:rPr>
          <w:rStyle w:val="Subst"/>
        </w:rPr>
        <w:t>Порядок доступа к инсайдерской информации в Публичном акционерном обществе «Газпром» и правила охраны ее конфиденциальности, утвержденный приказом ПАО «Газпром» от 19 января</w:t>
      </w:r>
      <w:r>
        <w:rPr>
          <w:rStyle w:val="Subst"/>
          <w:lang w:val="en-US"/>
        </w:rPr>
        <w:t> </w:t>
      </w:r>
      <w:r>
        <w:rPr>
          <w:rStyle w:val="Subst"/>
        </w:rPr>
        <w:t>2021 г. № 23 (с изменениями, внесенными приказами ПАО «Газпром» от 01 октября 2021</w:t>
      </w:r>
      <w:r>
        <w:rPr>
          <w:rStyle w:val="Subst"/>
          <w:lang w:val="en-US"/>
        </w:rPr>
        <w:t> </w:t>
      </w:r>
      <w:r>
        <w:rPr>
          <w:rStyle w:val="Subst"/>
        </w:rPr>
        <w:t>г. № 429, от 31 января 2023 г. № 26, от 23 декабря 2024 г.  № 474);</w:t>
      </w:r>
    </w:p>
    <w:p w:rsidR="00A02ECF" w:rsidRDefault="006104A2">
      <w:pPr>
        <w:spacing w:before="120"/>
        <w:jc w:val="both"/>
        <w:rPr>
          <w:rStyle w:val="Subst"/>
        </w:rPr>
      </w:pPr>
      <w:r>
        <w:rPr>
          <w:rStyle w:val="Subst"/>
        </w:rPr>
        <w:t>Правила внутреннего контроля ПАО «Газпром» по предотвращению, выявлению и пресечению неправомерного использования инсайдерской информации и (или) манипулирования рынком, утвержденные приказом ПАО «Газпром» от 19 марта 2021</w:t>
      </w:r>
      <w:r>
        <w:rPr>
          <w:rStyle w:val="Subst"/>
          <w:lang w:val="en-US"/>
        </w:rPr>
        <w:t> </w:t>
      </w:r>
      <w:r>
        <w:rPr>
          <w:rStyle w:val="Subst"/>
        </w:rPr>
        <w:t>г. № 132 (с изменениями, внесенными приказом ПАО «Газпром» от</w:t>
      </w:r>
      <w:r>
        <w:rPr>
          <w:rStyle w:val="Subst"/>
          <w:lang w:val="en-US"/>
        </w:rPr>
        <w:t> </w:t>
      </w:r>
      <w:r>
        <w:rPr>
          <w:rStyle w:val="Subst"/>
        </w:rPr>
        <w:t>27 октября 2022 года № 439, от 30 января 2025 г. № 19);</w:t>
      </w:r>
    </w:p>
    <w:p w:rsidR="00A02ECF" w:rsidRDefault="006104A2">
      <w:pPr>
        <w:spacing w:before="120"/>
        <w:jc w:val="both"/>
        <w:rPr>
          <w:b/>
          <w:bCs/>
          <w:i/>
          <w:iCs/>
        </w:rPr>
      </w:pPr>
      <w:r>
        <w:rPr>
          <w:b/>
          <w:bCs/>
          <w:i/>
          <w:iCs/>
        </w:rPr>
        <w:t>Условия совершения операций с финансовыми инструментами лицами, включенными в список инсайдеров ПАО «Газпром», и связанными с ними лицами, определенные Советом директоров ПАО</w:t>
      </w:r>
      <w:r>
        <w:rPr>
          <w:b/>
          <w:bCs/>
          <w:i/>
          <w:iCs/>
          <w:lang w:val="en-US"/>
        </w:rPr>
        <w:t> </w:t>
      </w:r>
      <w:r>
        <w:rPr>
          <w:b/>
          <w:bCs/>
          <w:i/>
          <w:iCs/>
        </w:rPr>
        <w:t>«Газпром» (решение Совета директоров ПАО «Газпром» от 11 июня 2020 г. № 3452 с изменениями, внесенными решением Совета директоров ПАО «Газпром» от 29 июня 2022 г. №</w:t>
      </w:r>
      <w:r>
        <w:rPr>
          <w:b/>
          <w:bCs/>
          <w:i/>
          <w:iCs/>
          <w:lang w:val="en-US"/>
        </w:rPr>
        <w:t> </w:t>
      </w:r>
      <w:r>
        <w:rPr>
          <w:b/>
          <w:bCs/>
          <w:i/>
          <w:iCs/>
        </w:rPr>
        <w:t>3789 и от 30 января 2026 г. № 4290).</w:t>
      </w:r>
    </w:p>
    <w:p w:rsidR="00A02ECF" w:rsidRDefault="00A02ECF">
      <w:pPr>
        <w:spacing w:before="0" w:after="0"/>
        <w:jc w:val="both"/>
        <w:rPr>
          <w:b/>
          <w:i/>
        </w:rPr>
      </w:pPr>
    </w:p>
    <w:p w:rsidR="00A02ECF" w:rsidRDefault="006104A2">
      <w:pPr>
        <w:spacing w:before="0" w:after="0"/>
        <w:jc w:val="both"/>
        <w:rPr>
          <w:b/>
          <w:i/>
        </w:rPr>
      </w:pPr>
      <w:r>
        <w:rPr>
          <w:b/>
          <w:i/>
        </w:rPr>
        <w:t>Изменений в составе информации настоящего пункта в период между отчетной датой и датой раскрытия консолидированной финансовой отчетности не происходило.</w:t>
      </w:r>
    </w:p>
    <w:p w:rsidR="00A02ECF" w:rsidRDefault="00A02ECF">
      <w:pPr>
        <w:spacing w:before="120"/>
        <w:jc w:val="both"/>
        <w:rPr>
          <w:b/>
          <w:bCs/>
          <w:i/>
          <w:iCs/>
        </w:rPr>
      </w:pPr>
    </w:p>
    <w:p w:rsidR="00A02ECF" w:rsidRDefault="006104A2">
      <w:pPr>
        <w:pStyle w:val="2"/>
        <w:jc w:val="both"/>
        <w:rPr>
          <w:bCs w:val="0"/>
          <w:color w:val="000000"/>
          <w:szCs w:val="20"/>
        </w:rPr>
      </w:pPr>
      <w:bookmarkStart w:id="247" w:name="_Toc230104327"/>
      <w:r>
        <w:rPr>
          <w:bCs w:val="0"/>
          <w:color w:val="000000"/>
          <w:szCs w:val="20"/>
        </w:rPr>
        <w:t>2.4. Информация о лицах, ответственных в эмитенте за организацию и осуществление управления рисками, контроля за финансово-хозяйственной деятельностью и внутреннего контроля, внутреннего аудита</w:t>
      </w:r>
      <w:bookmarkEnd w:id="247"/>
    </w:p>
    <w:p w:rsidR="009E6B44" w:rsidRDefault="009E6B44">
      <w:pPr>
        <w:jc w:val="both"/>
        <w:rPr>
          <w:rFonts w:eastAsia="Calibri"/>
        </w:rPr>
      </w:pPr>
    </w:p>
    <w:p w:rsidR="009E6B44" w:rsidRDefault="009E6B44" w:rsidP="009E6B44">
      <w:pPr>
        <w:jc w:val="both"/>
        <w:rPr>
          <w:b/>
          <w:bCs/>
        </w:rPr>
      </w:pPr>
      <w:r>
        <w:rPr>
          <w:b/>
          <w:bCs/>
        </w:rPr>
        <w:t>Информация не раскрывается в полном объеме на основании пункта 6 статьи 30.1 Федерального закона «О рынке ценных бумаг».</w:t>
      </w:r>
    </w:p>
    <w:p w:rsidR="009E6B44" w:rsidRDefault="009E6B44">
      <w:pPr>
        <w:jc w:val="both"/>
        <w:rPr>
          <w:rFonts w:eastAsia="Calibri"/>
        </w:rPr>
      </w:pPr>
    </w:p>
    <w:p w:rsidR="00A02ECF" w:rsidRDefault="006104A2">
      <w:pPr>
        <w:jc w:val="both"/>
        <w:rPr>
          <w:rFonts w:eastAsia="Calibri"/>
        </w:rPr>
      </w:pPr>
      <w:r>
        <w:rPr>
          <w:rFonts w:eastAsia="Calibri"/>
        </w:rPr>
        <w:t>В случае наличия в эмитенте ревизионной комиссии (ревизора) раскрывается информация о персональном составе ревизионной комиссии (ревизоре) эмитента с указанием по каждому члену ревизионной комиссии (ревизору) следующих сведений:</w:t>
      </w:r>
    </w:p>
    <w:p w:rsidR="00A02ECF" w:rsidRDefault="00A02ECF">
      <w:pPr>
        <w:spacing w:before="0" w:after="0"/>
        <w:jc w:val="both"/>
      </w:pPr>
    </w:p>
    <w:p w:rsidR="00A02ECF" w:rsidRDefault="006104A2">
      <w:pPr>
        <w:jc w:val="both"/>
      </w:pPr>
      <w:r>
        <w:rPr>
          <w:rStyle w:val="Subst"/>
        </w:rPr>
        <w:t>Ревизионная комиссия</w:t>
      </w:r>
    </w:p>
    <w:p w:rsidR="00A02ECF" w:rsidRDefault="00A02ECF"/>
    <w:p w:rsidR="009E6B44" w:rsidRDefault="009E6B44" w:rsidP="009E6B44">
      <w:bookmarkStart w:id="248" w:name="_Hlk229669743"/>
      <w:r>
        <w:t>ФИО:</w:t>
      </w:r>
      <w:r>
        <w:rPr>
          <w:rStyle w:val="Subst"/>
          <w:rFonts w:eastAsia="Arial"/>
        </w:rPr>
        <w:t xml:space="preserve"> Горбатых Светлана Николаевна</w:t>
      </w:r>
    </w:p>
    <w:p w:rsidR="009E6B44" w:rsidRDefault="009E6B44" w:rsidP="009E6B44"/>
    <w:p w:rsidR="009E6B44" w:rsidRDefault="009E6B44" w:rsidP="009E6B44">
      <w:pPr>
        <w:jc w:val="center"/>
        <w:rPr>
          <w:b/>
        </w:rPr>
      </w:pPr>
      <w:r w:rsidRPr="00F84BB1">
        <w:rPr>
          <w:b/>
        </w:rPr>
        <w:t>…</w:t>
      </w:r>
    </w:p>
    <w:p w:rsidR="009E6B44" w:rsidRDefault="009E6B44" w:rsidP="009E6B44">
      <w:pPr>
        <w:spacing w:before="0" w:after="0"/>
        <w:jc w:val="both"/>
        <w:rPr>
          <w:bCs/>
          <w:iCs/>
        </w:rPr>
      </w:pPr>
    </w:p>
    <w:p w:rsidR="009E6B44" w:rsidRDefault="009E6B44" w:rsidP="009E6B44">
      <w:bookmarkStart w:id="249" w:name="_Hlk229668332"/>
      <w:r>
        <w:t>ФИО:</w:t>
      </w:r>
      <w:r>
        <w:rPr>
          <w:rStyle w:val="Subst"/>
          <w:rFonts w:eastAsia="Arial"/>
        </w:rPr>
        <w:t xml:space="preserve"> Костенко Глеб Александрович </w:t>
      </w:r>
    </w:p>
    <w:bookmarkEnd w:id="249"/>
    <w:p w:rsidR="009E6B44" w:rsidRDefault="009E6B44" w:rsidP="009E6B44"/>
    <w:p w:rsidR="009E6B44" w:rsidRDefault="009E6B44" w:rsidP="009E6B44">
      <w:pPr>
        <w:jc w:val="center"/>
        <w:rPr>
          <w:b/>
        </w:rPr>
      </w:pPr>
      <w:r w:rsidRPr="00F84BB1">
        <w:rPr>
          <w:b/>
        </w:rPr>
        <w:t>…</w:t>
      </w:r>
    </w:p>
    <w:p w:rsidR="009E6B44" w:rsidRDefault="009E6B44" w:rsidP="009E6B44">
      <w:pPr>
        <w:spacing w:before="0" w:after="0"/>
        <w:jc w:val="both"/>
        <w:rPr>
          <w:bCs/>
          <w:iCs/>
        </w:rPr>
      </w:pPr>
    </w:p>
    <w:p w:rsidR="009E6B44" w:rsidRDefault="009E6B44" w:rsidP="009E6B44">
      <w:r>
        <w:t>ФИО:</w:t>
      </w:r>
      <w:r>
        <w:rPr>
          <w:rStyle w:val="Subst"/>
          <w:rFonts w:eastAsia="Arial"/>
        </w:rPr>
        <w:t xml:space="preserve"> Медведева Елена Анатольевна </w:t>
      </w:r>
    </w:p>
    <w:p w:rsidR="009E6B44" w:rsidRDefault="009E6B44" w:rsidP="009E6B44">
      <w:pPr>
        <w:jc w:val="center"/>
        <w:rPr>
          <w:b/>
        </w:rPr>
      </w:pPr>
    </w:p>
    <w:p w:rsidR="009E6B44" w:rsidRDefault="009E6B44" w:rsidP="009E6B44">
      <w:pPr>
        <w:jc w:val="center"/>
        <w:rPr>
          <w:b/>
        </w:rPr>
      </w:pPr>
      <w:r w:rsidRPr="00F84BB1">
        <w:rPr>
          <w:b/>
        </w:rPr>
        <w:t>…</w:t>
      </w:r>
    </w:p>
    <w:p w:rsidR="009E6B44" w:rsidRDefault="009E6B44" w:rsidP="009E6B44">
      <w:pPr>
        <w:jc w:val="both"/>
        <w:rPr>
          <w:b/>
        </w:rPr>
      </w:pPr>
    </w:p>
    <w:p w:rsidR="00A02ECF" w:rsidRDefault="00A02ECF">
      <w:pPr>
        <w:jc w:val="both"/>
      </w:pPr>
    </w:p>
    <w:p w:rsidR="00A02ECF" w:rsidRDefault="006104A2">
      <w:pPr>
        <w:jc w:val="both"/>
      </w:pPr>
      <w:r>
        <w:t>Информация об изменениях в составе сведений по данному лицу, которые произошли между отчетной датой и датой раскрытия отчетности, на основе которой в отчете эмитента раскрывается информация о</w:t>
      </w:r>
      <w:r>
        <w:rPr>
          <w:lang w:val="en-US"/>
        </w:rPr>
        <w:t> </w:t>
      </w:r>
      <w:r>
        <w:t>финансово-хозяйственной деятельности эмитента, которая известна или должна быть известна эмитенту на дату раскрытия соответствующей отчетности:</w:t>
      </w:r>
    </w:p>
    <w:p w:rsidR="009E6B44" w:rsidRDefault="009E6B44" w:rsidP="009E6B44">
      <w:pPr>
        <w:jc w:val="center"/>
        <w:rPr>
          <w:b/>
        </w:rPr>
      </w:pPr>
      <w:r w:rsidRPr="00F84BB1">
        <w:rPr>
          <w:b/>
        </w:rPr>
        <w:t>…</w:t>
      </w:r>
    </w:p>
    <w:p w:rsidR="009E6B44" w:rsidRDefault="009E6B44" w:rsidP="009E6B44">
      <w:pPr>
        <w:jc w:val="center"/>
        <w:rPr>
          <w:b/>
        </w:rPr>
      </w:pPr>
    </w:p>
    <w:p w:rsidR="00C02472" w:rsidRDefault="00C02472">
      <w:pPr>
        <w:spacing w:before="80"/>
        <w:ind w:left="198"/>
        <w:rPr>
          <w:b/>
          <w:bCs/>
          <w:i/>
          <w:iCs/>
        </w:rPr>
      </w:pPr>
      <w:r>
        <w:rPr>
          <w:b/>
          <w:i/>
        </w:rPr>
        <w:t>В марте 2026 года избрана Председателем Ревизионной комиссии ПАО «Газпром».</w:t>
      </w:r>
    </w:p>
    <w:bookmarkEnd w:id="248"/>
    <w:p w:rsidR="009E6B44" w:rsidRDefault="009E6B44" w:rsidP="009E6B44">
      <w:pPr>
        <w:jc w:val="center"/>
        <w:rPr>
          <w:b/>
        </w:rPr>
      </w:pPr>
      <w:r w:rsidRPr="00F84BB1">
        <w:rPr>
          <w:b/>
        </w:rPr>
        <w:t>…</w:t>
      </w:r>
    </w:p>
    <w:p w:rsidR="009E6B44" w:rsidRDefault="009E6B44" w:rsidP="009E6B44">
      <w:pPr>
        <w:jc w:val="center"/>
        <w:rPr>
          <w:b/>
        </w:rPr>
      </w:pPr>
    </w:p>
    <w:p w:rsidR="009E6B44" w:rsidRDefault="009E6B44" w:rsidP="009E6B44">
      <w:r>
        <w:t>ФИО:</w:t>
      </w:r>
      <w:r>
        <w:rPr>
          <w:rStyle w:val="Subst"/>
          <w:rFonts w:eastAsia="Arial"/>
        </w:rPr>
        <w:t xml:space="preserve"> </w:t>
      </w:r>
      <w:r>
        <w:rPr>
          <w:b/>
          <w:bCs/>
          <w:i/>
          <w:iCs/>
        </w:rPr>
        <w:t>Платонов Сергей Ревазович</w:t>
      </w:r>
    </w:p>
    <w:p w:rsidR="009E6B44" w:rsidRDefault="009E6B44" w:rsidP="009E6B44"/>
    <w:p w:rsidR="009E6B44" w:rsidRDefault="009E6B44" w:rsidP="009E6B44">
      <w:pPr>
        <w:jc w:val="center"/>
        <w:rPr>
          <w:b/>
        </w:rPr>
      </w:pPr>
      <w:r w:rsidRPr="00F84BB1">
        <w:rPr>
          <w:b/>
        </w:rPr>
        <w:t>…</w:t>
      </w:r>
    </w:p>
    <w:p w:rsidR="009E6B44" w:rsidRDefault="009E6B44" w:rsidP="009E6B44">
      <w:pPr>
        <w:spacing w:before="0" w:after="0"/>
        <w:jc w:val="both"/>
        <w:rPr>
          <w:bCs/>
          <w:iCs/>
        </w:rPr>
      </w:pPr>
    </w:p>
    <w:p w:rsidR="009E6B44" w:rsidRDefault="009E6B44" w:rsidP="009E6B44">
      <w:r>
        <w:t>ФИО:</w:t>
      </w:r>
      <w:r>
        <w:rPr>
          <w:rStyle w:val="Subst"/>
          <w:rFonts w:eastAsia="Arial"/>
        </w:rPr>
        <w:t xml:space="preserve"> Яковлев Алексей Вячеславович</w:t>
      </w:r>
    </w:p>
    <w:p w:rsidR="009E6B44" w:rsidRDefault="009E6B44" w:rsidP="009E6B44">
      <w:pPr>
        <w:rPr>
          <w:b/>
          <w:sz w:val="22"/>
          <w:szCs w:val="22"/>
        </w:rPr>
      </w:pPr>
    </w:p>
    <w:p w:rsidR="009E6B44" w:rsidRDefault="009E6B44" w:rsidP="009E6B44">
      <w:pPr>
        <w:jc w:val="center"/>
        <w:rPr>
          <w:b/>
        </w:rPr>
      </w:pPr>
      <w:r w:rsidRPr="00F84BB1">
        <w:rPr>
          <w:b/>
        </w:rPr>
        <w:t>…</w:t>
      </w:r>
    </w:p>
    <w:p w:rsidR="009E6B44" w:rsidRDefault="009E6B44" w:rsidP="009E6B44">
      <w:pPr>
        <w:spacing w:before="0" w:after="0"/>
        <w:jc w:val="both"/>
        <w:rPr>
          <w:bCs/>
          <w:iCs/>
        </w:rPr>
      </w:pPr>
    </w:p>
    <w:p w:rsidR="009E6B44" w:rsidRDefault="009E6B44" w:rsidP="009E6B44">
      <w:pPr>
        <w:spacing w:before="0" w:after="0"/>
        <w:jc w:val="both"/>
      </w:pPr>
    </w:p>
    <w:p w:rsidR="00A02ECF" w:rsidRDefault="006104A2">
      <w:r>
        <w:t>Дополнительная информация для п. 2.4:</w:t>
      </w:r>
    </w:p>
    <w:p w:rsidR="00A02ECF" w:rsidRDefault="006104A2">
      <w:pPr>
        <w:spacing w:before="80" w:after="0"/>
        <w:jc w:val="both"/>
        <w:rPr>
          <w:b/>
          <w:bCs/>
          <w:i/>
          <w:iCs/>
        </w:rPr>
      </w:pPr>
      <w:r>
        <w:rPr>
          <w:b/>
          <w:bCs/>
          <w:i/>
          <w:iCs/>
        </w:rPr>
        <w:t>В информации о занимаемых членами Ревизионной комиссии ПАО «Газпром» должностях в органах управления организаций указана дополнительно информация о должности по основному месту работы.</w:t>
      </w:r>
    </w:p>
    <w:p w:rsidR="00A02ECF" w:rsidRDefault="006104A2">
      <w:pPr>
        <w:spacing w:before="80" w:after="0"/>
        <w:rPr>
          <w:b/>
          <w:bCs/>
          <w:i/>
          <w:iCs/>
        </w:rPr>
      </w:pPr>
      <w:r>
        <w:rPr>
          <w:b/>
          <w:bCs/>
          <w:i/>
          <w:iCs/>
        </w:rPr>
        <w:t>По состоянию на 31.12.2025 Председатель Ревизионной комиссии ПАО «Газпром» не избран.</w:t>
      </w:r>
    </w:p>
    <w:p w:rsidR="00A02ECF" w:rsidRDefault="00A02ECF">
      <w:pPr>
        <w:jc w:val="both"/>
        <w:rPr>
          <w:color w:val="000000"/>
        </w:rPr>
      </w:pPr>
    </w:p>
    <w:p w:rsidR="00A02ECF" w:rsidRDefault="00A02ECF">
      <w:pPr>
        <w:jc w:val="both"/>
        <w:rPr>
          <w:color w:val="000000"/>
        </w:rPr>
      </w:pPr>
    </w:p>
    <w:p w:rsidR="00A02ECF" w:rsidRDefault="006104A2">
      <w:pPr>
        <w:pStyle w:val="2"/>
        <w:jc w:val="both"/>
        <w:rPr>
          <w:bCs w:val="0"/>
          <w:color w:val="000000"/>
          <w:szCs w:val="20"/>
        </w:rPr>
      </w:pPr>
      <w:bookmarkStart w:id="250" w:name="_Toc230104328"/>
      <w:r>
        <w:rPr>
          <w:bCs w:val="0"/>
          <w:color w:val="000000"/>
          <w:szCs w:val="20"/>
        </w:rPr>
        <w:t>2.5. Сведения о любых обязательствах эмитента перед работниками эмитента и работниками подконтрольных эмитенту организаций, касающихся возможности их участия в уставном капитале эмитента</w:t>
      </w:r>
      <w:bookmarkEnd w:id="250"/>
    </w:p>
    <w:p w:rsidR="00A02ECF" w:rsidRDefault="006104A2">
      <w:pPr>
        <w:jc w:val="both"/>
      </w:pPr>
      <w:r>
        <w:t>Сведения о существующих соглашениях или обязательствах эмитента</w:t>
      </w:r>
      <w:r>
        <w:rPr>
          <w:rFonts w:eastAsia="Calibri"/>
          <w:bCs/>
        </w:rPr>
        <w:t>, предусматривающих право участия работников эмитента в его уставном капитале</w:t>
      </w:r>
      <w:r>
        <w:t>:</w:t>
      </w:r>
    </w:p>
    <w:p w:rsidR="00A02ECF" w:rsidRDefault="006104A2">
      <w:pPr>
        <w:jc w:val="both"/>
        <w:rPr>
          <w:bCs/>
        </w:rPr>
      </w:pPr>
      <w:r>
        <w:rPr>
          <w:b/>
          <w:bCs/>
          <w:i/>
          <w:iCs/>
        </w:rPr>
        <w:t>Решением Совета директоров ОАО «Газпром» от 19 декабря 2006 г. № 927 утверждено Положение о премировании руководящих работников ОАО «Газпром» акциями Общества, позволяющее руководящим работникам Общества участвовать в его уставном капитале. Решением от 26 декабря 2012 г. № 2105 Совет директоров ОАО «Газпром» внес изменения в указанное Положение, утвердив его в новой редакции (Положение о программе участия руководящих работников в уставном капитале ОАО «Газпром», далее – Программа). В Программу внесены изменения решением Совета директоров ОАО «Газпром» от 26 марта 2015 г. № 2511, а также решениями Совета директоров ПАО «Газпром» от 10 июля 2020 г.  № 3467, от 21 сентября 2021 г. № 3650, от 22 февраля 2022 г. № 3720, от 12 сентября 2022 г. № 3820, от 28 сентября 2023 г. № 3982 и от 17 октября 2024 г. № 4127.</w:t>
      </w:r>
    </w:p>
    <w:p w:rsidR="00A02ECF" w:rsidRDefault="006104A2">
      <w:pPr>
        <w:spacing w:before="120" w:after="0"/>
        <w:jc w:val="both"/>
        <w:rPr>
          <w:b/>
          <w:i/>
          <w:szCs w:val="28"/>
        </w:rPr>
      </w:pPr>
      <w:r>
        <w:rPr>
          <w:b/>
          <w:i/>
          <w:szCs w:val="28"/>
        </w:rPr>
        <w:t>Программа утверждена с целью создания дополнительной материальной заинтересованности руководящих работников в повышении рыночной стоимости акций Общества.</w:t>
      </w:r>
    </w:p>
    <w:p w:rsidR="00A02ECF" w:rsidRDefault="006104A2">
      <w:pPr>
        <w:spacing w:before="120" w:after="0"/>
        <w:jc w:val="both"/>
        <w:rPr>
          <w:b/>
          <w:i/>
          <w:szCs w:val="28"/>
        </w:rPr>
      </w:pPr>
      <w:r>
        <w:rPr>
          <w:b/>
          <w:i/>
          <w:szCs w:val="28"/>
        </w:rPr>
        <w:t xml:space="preserve">В Программе участвуют руководящие работники ПАО «Газпром», занимающие должности от начальника Департамента и выше, а также руководители дочерних обществ основных видов деятельности. </w:t>
      </w:r>
    </w:p>
    <w:p w:rsidR="00A02ECF" w:rsidRDefault="006104A2">
      <w:pPr>
        <w:spacing w:before="120" w:after="0"/>
        <w:jc w:val="both"/>
        <w:rPr>
          <w:b/>
          <w:i/>
          <w:szCs w:val="28"/>
        </w:rPr>
      </w:pPr>
      <w:r>
        <w:rPr>
          <w:b/>
          <w:i/>
          <w:szCs w:val="28"/>
        </w:rPr>
        <w:t>Условиями Программы предусмотрено:</w:t>
      </w:r>
    </w:p>
    <w:p w:rsidR="00A02ECF" w:rsidRDefault="006104A2">
      <w:pPr>
        <w:spacing w:before="120" w:after="0"/>
        <w:ind w:firstLine="709"/>
        <w:jc w:val="both"/>
        <w:rPr>
          <w:b/>
          <w:i/>
          <w:szCs w:val="28"/>
        </w:rPr>
      </w:pPr>
      <w:r>
        <w:rPr>
          <w:b/>
          <w:i/>
          <w:szCs w:val="28"/>
        </w:rPr>
        <w:t>Руководящие работники являются собственниками акций Компании.</w:t>
      </w:r>
    </w:p>
    <w:p w:rsidR="00A02ECF" w:rsidRDefault="006104A2">
      <w:pPr>
        <w:spacing w:before="120" w:after="0"/>
        <w:ind w:firstLine="709"/>
        <w:jc w:val="both"/>
        <w:rPr>
          <w:b/>
          <w:i/>
          <w:szCs w:val="28"/>
        </w:rPr>
      </w:pPr>
      <w:r>
        <w:rPr>
          <w:b/>
          <w:i/>
          <w:szCs w:val="28"/>
        </w:rPr>
        <w:lastRenderedPageBreak/>
        <w:t xml:space="preserve">Акции могут быть приобретены за счет собственных денежных средств руководящих работников, а также за счет кредитных средств, предоставляемых Банком ГПБ (АО) в рамках Программы. </w:t>
      </w:r>
    </w:p>
    <w:p w:rsidR="00A02ECF" w:rsidRDefault="006104A2">
      <w:pPr>
        <w:spacing w:before="120" w:after="0"/>
        <w:ind w:firstLine="709"/>
        <w:jc w:val="both"/>
        <w:rPr>
          <w:b/>
          <w:i/>
          <w:szCs w:val="28"/>
        </w:rPr>
      </w:pPr>
      <w:r>
        <w:rPr>
          <w:b/>
          <w:i/>
          <w:szCs w:val="28"/>
        </w:rPr>
        <w:t xml:space="preserve">Действующая Программа соответствует мировым практикам и направлена на сближение руководящих работников и инвесторов. По состоянию на 31 декабря 2025 г. 73 руководящих работника имели право на участие в Программе. </w:t>
      </w:r>
    </w:p>
    <w:p w:rsidR="00A02ECF" w:rsidRDefault="00A02ECF">
      <w:pPr>
        <w:rPr>
          <w:b/>
          <w:bCs/>
          <w:i/>
          <w:iCs/>
        </w:rPr>
      </w:pPr>
    </w:p>
    <w:p w:rsidR="00A02ECF" w:rsidRDefault="006104A2">
      <w:pPr>
        <w:rPr>
          <w:b/>
          <w:i/>
        </w:rPr>
      </w:pPr>
      <w:r>
        <w:rPr>
          <w:rFonts w:eastAsia="Calibri"/>
          <w:bCs/>
        </w:rPr>
        <w:t>Сведения о заключении таких соглашений или обязательств эмитентом, их общий объем:</w:t>
      </w:r>
      <w:r>
        <w:t xml:space="preserve"> </w:t>
      </w:r>
      <w:r>
        <w:rPr>
          <w:b/>
          <w:i/>
        </w:rPr>
        <w:t>нет.</w:t>
      </w:r>
    </w:p>
    <w:p w:rsidR="00A02ECF" w:rsidRDefault="00A02ECF">
      <w:pPr>
        <w:jc w:val="both"/>
        <w:rPr>
          <w:rFonts w:eastAsia="Calibri"/>
          <w:bCs/>
        </w:rPr>
      </w:pPr>
    </w:p>
    <w:p w:rsidR="00A02ECF" w:rsidRDefault="006104A2">
      <w:pPr>
        <w:jc w:val="both"/>
        <w:rPr>
          <w:b/>
          <w:i/>
        </w:rPr>
      </w:pPr>
      <w:r>
        <w:rPr>
          <w:rFonts w:eastAsia="Calibri"/>
          <w:bCs/>
        </w:rPr>
        <w:t xml:space="preserve">Совокупная доля участия в уставном капитале эмитента (совокупное количество обыкновенных акций эмитента - акционерного общества), которая может быть приобретена (которое может быть приобретено) по таким соглашениям или обязательствам работниками эмитента: </w:t>
      </w:r>
      <w:r>
        <w:rPr>
          <w:rFonts w:eastAsia="Calibri"/>
          <w:b/>
          <w:bCs/>
          <w:i/>
        </w:rPr>
        <w:t>не применимо.</w:t>
      </w:r>
    </w:p>
    <w:p w:rsidR="00A02ECF" w:rsidRDefault="00A02ECF">
      <w:pPr>
        <w:jc w:val="both"/>
        <w:rPr>
          <w:rFonts w:eastAsia="Calibri"/>
          <w:bCs/>
        </w:rPr>
      </w:pPr>
    </w:p>
    <w:p w:rsidR="00A02ECF" w:rsidRDefault="006104A2">
      <w:pPr>
        <w:spacing w:before="60"/>
        <w:jc w:val="both"/>
        <w:rPr>
          <w:rFonts w:eastAsia="Calibri"/>
          <w:bCs/>
        </w:rPr>
      </w:pPr>
      <w:r>
        <w:t xml:space="preserve">Сведения о существующих соглашениях или обязательствах </w:t>
      </w:r>
      <w:r>
        <w:rPr>
          <w:rFonts w:eastAsia="Calibri"/>
          <w:bCs/>
        </w:rPr>
        <w:t>подконтрольных эмитенту организаций, предусматривающих право участия работников подконтрольных эмитенту организаций в уставном капитале эмитента</w:t>
      </w:r>
      <w:r>
        <w:t xml:space="preserve">: </w:t>
      </w:r>
      <w:r>
        <w:rPr>
          <w:rFonts w:eastAsia="Calibri"/>
          <w:b/>
          <w:bCs/>
          <w:i/>
        </w:rPr>
        <w:t>информация отсутствует.</w:t>
      </w:r>
      <w:r>
        <w:rPr>
          <w:rFonts w:eastAsia="Calibri"/>
          <w:bCs/>
        </w:rPr>
        <w:t xml:space="preserve"> </w:t>
      </w:r>
    </w:p>
    <w:p w:rsidR="00A02ECF" w:rsidRDefault="006104A2">
      <w:pPr>
        <w:spacing w:before="60"/>
        <w:jc w:val="both"/>
        <w:rPr>
          <w:rFonts w:eastAsia="Calibri"/>
          <w:bCs/>
        </w:rPr>
      </w:pPr>
      <w:r>
        <w:rPr>
          <w:rFonts w:eastAsia="Calibri"/>
          <w:bCs/>
        </w:rPr>
        <w:t xml:space="preserve">Сведения о заключении таких соглашений или обязательств подконтрольными эмитенту организациями, их общий объем: </w:t>
      </w:r>
      <w:r>
        <w:rPr>
          <w:rFonts w:eastAsia="Calibri"/>
          <w:b/>
          <w:bCs/>
          <w:i/>
        </w:rPr>
        <w:t>информация отсутствует.</w:t>
      </w:r>
    </w:p>
    <w:p w:rsidR="00A02ECF" w:rsidRDefault="006104A2">
      <w:pPr>
        <w:spacing w:before="60"/>
        <w:jc w:val="both"/>
      </w:pPr>
      <w:r>
        <w:rPr>
          <w:rFonts w:eastAsia="Calibri"/>
          <w:bCs/>
        </w:rPr>
        <w:t xml:space="preserve">Совокупная доля участия в уставном капитале эмитента (совокупное количество обыкновенных акций эмитента - акционерного общества), которая может быть приобретена (которое может быть приобретено) по таким соглашениям или обязательствам работниками подконтрольных эмитенту организаций: </w:t>
      </w:r>
      <w:r>
        <w:rPr>
          <w:rFonts w:eastAsia="Calibri"/>
          <w:b/>
          <w:bCs/>
          <w:i/>
        </w:rPr>
        <w:t>информация отсутствует.</w:t>
      </w:r>
    </w:p>
    <w:p w:rsidR="00A02ECF" w:rsidRDefault="00A02ECF">
      <w:pPr>
        <w:rPr>
          <w:rFonts w:eastAsia="Calibri"/>
          <w:bCs/>
        </w:rPr>
      </w:pPr>
    </w:p>
    <w:p w:rsidR="00A02ECF" w:rsidRDefault="006104A2">
      <w:pPr>
        <w:jc w:val="both"/>
        <w:rPr>
          <w:b/>
          <w:i/>
        </w:rPr>
      </w:pPr>
      <w:r>
        <w:rPr>
          <w:rFonts w:eastAsia="Calibri"/>
          <w:bCs/>
        </w:rPr>
        <w:t xml:space="preserve">Сведения о предоставлении или возможности предоставления работникам эмитента и работникам подконтрольных эмитенту организаций опционов эмитента: </w:t>
      </w:r>
      <w:r>
        <w:rPr>
          <w:b/>
          <w:i/>
        </w:rPr>
        <w:t>эмитент не выпускал опционов.</w:t>
      </w:r>
    </w:p>
    <w:p w:rsidR="00A02ECF" w:rsidRDefault="00A02ECF">
      <w:pPr>
        <w:jc w:val="both"/>
        <w:rPr>
          <w:rFonts w:eastAsia="Calibri"/>
          <w:bCs/>
        </w:rPr>
      </w:pPr>
    </w:p>
    <w:p w:rsidR="00A02ECF" w:rsidRDefault="006104A2">
      <w:pPr>
        <w:spacing w:before="60"/>
        <w:jc w:val="both"/>
        <w:rPr>
          <w:b/>
          <w:i/>
        </w:rPr>
      </w:pPr>
      <w:r>
        <w:rPr>
          <w:b/>
          <w:i/>
        </w:rPr>
        <w:t>Изменений в составе информации настоящего пункта в период между отчетной датой и датой раскрытия консолидированной финансовой отчетности не происходило.</w:t>
      </w:r>
    </w:p>
    <w:p w:rsidR="00A02ECF" w:rsidRDefault="006104A2">
      <w:pPr>
        <w:spacing w:before="120"/>
        <w:jc w:val="both"/>
        <w:rPr>
          <w:color w:val="000000"/>
        </w:rPr>
      </w:pPr>
      <w:r>
        <w:rPr>
          <w:rStyle w:val="Subst"/>
        </w:rPr>
        <w:br w:type="page" w:clear="all"/>
      </w:r>
    </w:p>
    <w:p w:rsidR="00A02ECF" w:rsidRDefault="006104A2">
      <w:pPr>
        <w:pStyle w:val="1"/>
        <w:rPr>
          <w:bCs w:val="0"/>
          <w:color w:val="000000"/>
          <w:szCs w:val="20"/>
        </w:rPr>
      </w:pPr>
      <w:bookmarkStart w:id="251" w:name="_Toc230104329"/>
      <w:r>
        <w:rPr>
          <w:bCs w:val="0"/>
          <w:color w:val="000000"/>
          <w:szCs w:val="20"/>
        </w:rPr>
        <w:lastRenderedPageBreak/>
        <w:t>Раздел 3. Сведения об акционерах (участниках, членах) эмитента, а также о сделках эмитента, в совершении которых имелась заинтересованность, и крупных сделках эмитента</w:t>
      </w:r>
      <w:bookmarkEnd w:id="251"/>
    </w:p>
    <w:p w:rsidR="00A02ECF" w:rsidRDefault="006104A2">
      <w:pPr>
        <w:pStyle w:val="2"/>
        <w:rPr>
          <w:bCs w:val="0"/>
          <w:szCs w:val="20"/>
        </w:rPr>
      </w:pPr>
      <w:bookmarkStart w:id="252" w:name="_Toc230104330"/>
      <w:r>
        <w:rPr>
          <w:bCs w:val="0"/>
          <w:szCs w:val="20"/>
        </w:rPr>
        <w:t>3.1. Сведения об общем количестве акционеров (участников, членов) эмитента</w:t>
      </w:r>
      <w:bookmarkEnd w:id="252"/>
    </w:p>
    <w:p w:rsidR="00A02ECF" w:rsidRDefault="00A02ECF">
      <w:pPr>
        <w:ind w:left="200"/>
        <w:rPr>
          <w:color w:val="000000"/>
        </w:rPr>
      </w:pPr>
    </w:p>
    <w:p w:rsidR="00A02ECF" w:rsidRDefault="006104A2">
      <w:pPr>
        <w:spacing w:after="0"/>
        <w:jc w:val="both"/>
      </w:pPr>
      <w:r>
        <w:t xml:space="preserve">Общее количество лиц с ненулевыми остатками на лицевых счетах, зарегистрированных в реестре акционеров эмитента на дату окончания последнего отчетного периода: </w:t>
      </w:r>
      <w:r>
        <w:rPr>
          <w:b/>
          <w:bCs/>
          <w:i/>
          <w:iCs/>
        </w:rPr>
        <w:t>45 996</w:t>
      </w:r>
    </w:p>
    <w:p w:rsidR="00A02ECF" w:rsidRDefault="00A02ECF">
      <w:pPr>
        <w:spacing w:after="0"/>
        <w:jc w:val="both"/>
      </w:pPr>
    </w:p>
    <w:p w:rsidR="00A02ECF" w:rsidRDefault="006104A2">
      <w:pPr>
        <w:shd w:val="clear" w:color="auto" w:fill="FFFFFF"/>
        <w:spacing w:after="0"/>
      </w:pPr>
      <w:r>
        <w:t xml:space="preserve">Общее количество номинальных держателей акций эмитента: </w:t>
      </w:r>
      <w:r>
        <w:rPr>
          <w:b/>
          <w:bCs/>
          <w:i/>
          <w:iCs/>
        </w:rPr>
        <w:t>15</w:t>
      </w:r>
    </w:p>
    <w:p w:rsidR="00A02ECF" w:rsidRDefault="00A02ECF">
      <w:pPr>
        <w:shd w:val="clear" w:color="auto" w:fill="FFFFFF"/>
        <w:spacing w:after="0"/>
        <w:jc w:val="both"/>
      </w:pPr>
    </w:p>
    <w:p w:rsidR="00A02ECF" w:rsidRDefault="006104A2">
      <w:pPr>
        <w:shd w:val="clear" w:color="auto" w:fill="FFFFFF"/>
        <w:spacing w:after="0"/>
        <w:jc w:val="both"/>
        <w:rPr>
          <w:b/>
          <w:bCs/>
          <w:i/>
        </w:rPr>
      </w:pPr>
      <w:r>
        <w:t xml:space="preserve">Общее количество номинальных держателей акций эмитента с ненулевыми остатками на лицевых счетах, зарегистрированных в реестре акционеров эмитента на дату окончания последнего отчетного периода: </w:t>
      </w:r>
      <w:r>
        <w:rPr>
          <w:b/>
          <w:i/>
        </w:rPr>
        <w:t>3</w:t>
      </w:r>
    </w:p>
    <w:p w:rsidR="00A02ECF" w:rsidRDefault="00A02ECF">
      <w:pPr>
        <w:shd w:val="clear" w:color="auto" w:fill="FFFFFF"/>
        <w:spacing w:after="0"/>
      </w:pPr>
    </w:p>
    <w:p w:rsidR="00A02ECF" w:rsidRDefault="006104A2">
      <w:pPr>
        <w:spacing w:after="0"/>
        <w:jc w:val="both"/>
        <w:rPr>
          <w:b/>
          <w:bCs/>
          <w:i/>
          <w:iCs/>
        </w:rPr>
      </w:pPr>
      <w:r>
        <w:t xml:space="preserve">Общее количество лиц, включенных в составленный последним список лиц, имевших (имеющих) право на участие в общем собрании акционеров эмитента (иной список лиц, составленный в целях осуществления (реализации) прав по акциям эмитента и для составления которого номинальные держатели акций эмитента представляли данные о лицах, в интересах которых они владели (владеют) акциями эмитента) или иной имеющийся у эмитента список, для составления которого номинальные держатели акций эмитента представляли данные о лицах, в интересах которых они владели (владеют) акциями эмитента: </w:t>
      </w:r>
      <w:r>
        <w:rPr>
          <w:b/>
          <w:bCs/>
          <w:i/>
          <w:iCs/>
        </w:rPr>
        <w:t>1 912 500</w:t>
      </w:r>
    </w:p>
    <w:p w:rsidR="00A02ECF" w:rsidRDefault="00A02ECF">
      <w:pPr>
        <w:spacing w:after="0"/>
        <w:jc w:val="both"/>
        <w:rPr>
          <w:b/>
          <w:bCs/>
          <w:i/>
        </w:rPr>
      </w:pPr>
    </w:p>
    <w:p w:rsidR="00A02ECF" w:rsidRDefault="006104A2">
      <w:pPr>
        <w:spacing w:after="0"/>
        <w:jc w:val="both"/>
        <w:rPr>
          <w:b/>
          <w:bCs/>
          <w:i/>
          <w:iCs/>
        </w:rPr>
      </w:pPr>
      <w:r>
        <w:t xml:space="preserve">Дата, на которую в таком списке указывались лица, имеющие право осуществлять права по акциям эмитента: </w:t>
      </w:r>
      <w:r>
        <w:rPr>
          <w:b/>
          <w:bCs/>
          <w:i/>
          <w:iCs/>
        </w:rPr>
        <w:t>02.06.2025</w:t>
      </w:r>
    </w:p>
    <w:p w:rsidR="00A02ECF" w:rsidRDefault="006104A2">
      <w:pPr>
        <w:spacing w:before="120" w:after="0"/>
        <w:rPr>
          <w:b/>
          <w:bCs/>
          <w:i/>
          <w:iCs/>
        </w:rPr>
      </w:pPr>
      <w:r>
        <w:t>Владельцы обыкновенных акций эмитента, которые подлежали включению в такой список:</w:t>
      </w:r>
      <w:r>
        <w:rPr>
          <w:bCs/>
        </w:rPr>
        <w:t xml:space="preserve"> </w:t>
      </w:r>
      <w:r>
        <w:rPr>
          <w:b/>
          <w:bCs/>
          <w:i/>
          <w:iCs/>
        </w:rPr>
        <w:t>1 912 500</w:t>
      </w:r>
    </w:p>
    <w:p w:rsidR="00A02ECF" w:rsidRDefault="006104A2">
      <w:pPr>
        <w:spacing w:before="120" w:after="0"/>
        <w:jc w:val="both"/>
      </w:pPr>
      <w:r>
        <w:t xml:space="preserve">Информация о количестве акций, приобретенных и (или) выкупленных эмитентом, и (или) поступивших в его распоряжение, на дату окончания отчетного периода, отдельно по каждой категории (типу) акций: </w:t>
      </w:r>
    </w:p>
    <w:p w:rsidR="00A02ECF" w:rsidRDefault="006104A2">
      <w:pPr>
        <w:spacing w:after="0"/>
        <w:jc w:val="both"/>
        <w:rPr>
          <w:b/>
          <w:bCs/>
          <w:i/>
          <w:iCs/>
        </w:rPr>
      </w:pPr>
      <w:r>
        <w:t>Категория акций:</w:t>
      </w:r>
      <w:r>
        <w:rPr>
          <w:i/>
          <w:iCs/>
        </w:rPr>
        <w:t xml:space="preserve"> </w:t>
      </w:r>
      <w:r>
        <w:rPr>
          <w:b/>
          <w:bCs/>
          <w:i/>
          <w:iCs/>
        </w:rPr>
        <w:t>акции обыкновенные именные бездокументарные</w:t>
      </w:r>
    </w:p>
    <w:p w:rsidR="00A02ECF" w:rsidRDefault="006104A2">
      <w:pPr>
        <w:spacing w:after="0"/>
        <w:jc w:val="both"/>
        <w:rPr>
          <w:b/>
          <w:bCs/>
          <w:i/>
          <w:iCs/>
        </w:rPr>
      </w:pPr>
      <w:r>
        <w:t xml:space="preserve">Количество акций, приобретенных и (или) выкупленных эмитентом, и (или) поступивших в его распоряжение, на дату окончания отчетного периода: </w:t>
      </w:r>
      <w:r>
        <w:rPr>
          <w:b/>
          <w:bCs/>
          <w:i/>
          <w:iCs/>
        </w:rPr>
        <w:t>0</w:t>
      </w:r>
      <w:r>
        <w:t xml:space="preserve"> </w:t>
      </w:r>
      <w:r>
        <w:rPr>
          <w:b/>
          <w:bCs/>
          <w:i/>
          <w:iCs/>
        </w:rPr>
        <w:t>шт.</w:t>
      </w:r>
    </w:p>
    <w:p w:rsidR="00A02ECF" w:rsidRDefault="006104A2">
      <w:pPr>
        <w:spacing w:before="160" w:after="0"/>
        <w:jc w:val="both"/>
      </w:pPr>
      <w:r>
        <w:t>Информация о количестве акций эмитента, принадлежащих подконтрольным ему организациям, отдельно по каждой категории (типу) акций:</w:t>
      </w:r>
    </w:p>
    <w:p w:rsidR="00A02ECF" w:rsidRDefault="006104A2">
      <w:pPr>
        <w:spacing w:after="0"/>
      </w:pPr>
      <w:r>
        <w:t>Категория акций:</w:t>
      </w:r>
      <w:r>
        <w:rPr>
          <w:b/>
          <w:bCs/>
          <w:i/>
          <w:iCs/>
        </w:rPr>
        <w:t xml:space="preserve"> акции обыкновенные именные бездокументарные</w:t>
      </w:r>
      <w:r>
        <w:t xml:space="preserve"> </w:t>
      </w:r>
    </w:p>
    <w:p w:rsidR="00A02ECF" w:rsidRDefault="006104A2">
      <w:pPr>
        <w:spacing w:after="0"/>
      </w:pPr>
      <w:r>
        <w:t xml:space="preserve">Количество акций эмитента, принадлежащих подконтрольным ему организациям: </w:t>
      </w:r>
      <w:r>
        <w:rPr>
          <w:b/>
          <w:i/>
        </w:rPr>
        <w:t>28 936 746</w:t>
      </w:r>
      <w:r>
        <w:rPr>
          <w:b/>
          <w:bCs/>
          <w:i/>
          <w:iCs/>
        </w:rPr>
        <w:t xml:space="preserve"> </w:t>
      </w:r>
      <w:r>
        <w:rPr>
          <w:b/>
          <w:i/>
        </w:rPr>
        <w:t>шт.</w:t>
      </w:r>
      <w:r>
        <w:t xml:space="preserve"> </w:t>
      </w:r>
    </w:p>
    <w:p w:rsidR="00A02ECF" w:rsidRDefault="006104A2">
      <w:pPr>
        <w:spacing w:before="120"/>
        <w:jc w:val="both"/>
      </w:pPr>
      <w:r>
        <w:t>Дополнительная информация для п. 3.1:</w:t>
      </w:r>
    </w:p>
    <w:p w:rsidR="00A02ECF" w:rsidRDefault="006104A2">
      <w:pPr>
        <w:spacing w:before="120"/>
        <w:jc w:val="both"/>
        <w:rPr>
          <w:b/>
          <w:bCs/>
          <w:i/>
          <w:iCs/>
        </w:rPr>
      </w:pPr>
      <w:r>
        <w:rPr>
          <w:b/>
          <w:bCs/>
          <w:i/>
          <w:iCs/>
        </w:rPr>
        <w:t>-</w:t>
      </w:r>
      <w:r>
        <w:t xml:space="preserve"> </w:t>
      </w:r>
      <w:r>
        <w:rPr>
          <w:b/>
          <w:bCs/>
          <w:i/>
          <w:iCs/>
        </w:rPr>
        <w:t xml:space="preserve">в части информации о владельцах обыкновенных акций эмитента, которые подлежали включению в список лиц, имевших право голоса при принятии решений общим собранием акционеров эмитента, указана информация, представленная регистратором – АО «ДРАГА» о количестве счетов, содержащихся в Списке лиц, имеющих право на голоса при принятии решений общим собранием акционеров, с датой фиксации реестра на конец операционного дня 02.06.2025; </w:t>
      </w:r>
    </w:p>
    <w:p w:rsidR="00A02ECF" w:rsidRDefault="006104A2">
      <w:pPr>
        <w:spacing w:before="120"/>
        <w:jc w:val="both"/>
        <w:rPr>
          <w:strike/>
        </w:rPr>
      </w:pPr>
      <w:r>
        <w:rPr>
          <w:b/>
          <w:bCs/>
          <w:i/>
          <w:iCs/>
        </w:rPr>
        <w:t>- в части информации о количестве акций эмитента, принадлежащих подконтрольным ему организациям, указана известная ПАО «Газпром» информация о количестве акций эмитента, принадлежащих по состоянию на 31.12.2025 и 30.04.2026 подконтрольным ему организациям, поступившая в</w:t>
      </w:r>
      <w:r>
        <w:rPr>
          <w:b/>
          <w:bCs/>
          <w:i/>
          <w:iCs/>
          <w:lang w:val="en-US"/>
        </w:rPr>
        <w:t> </w:t>
      </w:r>
      <w:r>
        <w:rPr>
          <w:b/>
          <w:bCs/>
          <w:i/>
          <w:iCs/>
        </w:rPr>
        <w:t>ПАО</w:t>
      </w:r>
      <w:r>
        <w:rPr>
          <w:b/>
          <w:bCs/>
          <w:i/>
          <w:iCs/>
          <w:lang w:val="en-US"/>
        </w:rPr>
        <w:t> </w:t>
      </w:r>
      <w:r>
        <w:rPr>
          <w:b/>
          <w:bCs/>
          <w:i/>
          <w:iCs/>
        </w:rPr>
        <w:t>«Газпром» от тех подконтрольных организаций, которые были включены в </w:t>
      </w:r>
      <w:r>
        <w:rPr>
          <w:b/>
          <w:bCs/>
          <w:i/>
          <w:iCs/>
          <w:lang w:val="en-US"/>
        </w:rPr>
        <w:t>C</w:t>
      </w:r>
      <w:r>
        <w:rPr>
          <w:b/>
          <w:bCs/>
          <w:i/>
          <w:iCs/>
        </w:rPr>
        <w:t>писок лиц, имеющих право голоса при принятии решений Общим собранием акционеров ПАО «Газпром», с датой фиксации реестра на</w:t>
      </w:r>
      <w:r>
        <w:rPr>
          <w:b/>
          <w:bCs/>
          <w:i/>
          <w:iCs/>
          <w:lang w:val="en-US"/>
        </w:rPr>
        <w:t> </w:t>
      </w:r>
      <w:r>
        <w:rPr>
          <w:b/>
          <w:bCs/>
          <w:i/>
          <w:iCs/>
        </w:rPr>
        <w:t>конец операционного дня 02.06.2025, а также полученная от обществ, указанных в п.4.1 Отчета эмитента.</w:t>
      </w:r>
    </w:p>
    <w:p w:rsidR="00A02ECF" w:rsidRDefault="006104A2">
      <w:pPr>
        <w:spacing w:before="120"/>
        <w:jc w:val="both"/>
      </w:pPr>
      <w:r>
        <w:t>Информация об изменениях в составе сведений настоящего пункта отчёта эмитента, которые произошли между отчетной датой и датой раскрытия отчётности, на основе которой в отчёте эмитента раскрывается информация о финансово-хозяйственной деятельности эмитента, которая известна или должна быть известна эмитенту на дату раскрытия соответствующей отчетности:</w:t>
      </w:r>
    </w:p>
    <w:p w:rsidR="00A02ECF" w:rsidRDefault="006104A2">
      <w:pPr>
        <w:numPr>
          <w:ilvl w:val="0"/>
          <w:numId w:val="28"/>
        </w:numPr>
        <w:spacing w:before="120"/>
        <w:ind w:left="284"/>
        <w:jc w:val="both"/>
      </w:pPr>
      <w:r>
        <w:t>Изменилось общее количество лиц с ненулевыми остатками на лицевых счетах, зарегистрированных в реестре акционеров эмитента.</w:t>
      </w:r>
    </w:p>
    <w:p w:rsidR="00A02ECF" w:rsidRDefault="006104A2">
      <w:pPr>
        <w:shd w:val="clear" w:color="auto" w:fill="FFFFFF"/>
        <w:spacing w:before="120" w:after="0"/>
        <w:ind w:left="284"/>
        <w:rPr>
          <w:b/>
          <w:bCs/>
          <w:i/>
          <w:iCs/>
        </w:rPr>
      </w:pPr>
      <w:r>
        <w:rPr>
          <w:b/>
          <w:bCs/>
          <w:i/>
          <w:iCs/>
        </w:rPr>
        <w:t xml:space="preserve">По состоянию на 30.04.2026 </w:t>
      </w:r>
    </w:p>
    <w:p w:rsidR="00A02ECF" w:rsidRDefault="006104A2">
      <w:pPr>
        <w:spacing w:before="0" w:after="0"/>
        <w:ind w:left="284"/>
        <w:jc w:val="both"/>
        <w:rPr>
          <w:b/>
          <w:bCs/>
          <w:i/>
          <w:iCs/>
        </w:rPr>
      </w:pPr>
      <w:r>
        <w:t xml:space="preserve">Общее количество лиц с ненулевыми остатками на лицевых счетах, зарегистрированных в реестре акционеров эмитента: </w:t>
      </w:r>
      <w:r>
        <w:rPr>
          <w:b/>
          <w:bCs/>
          <w:i/>
          <w:iCs/>
        </w:rPr>
        <w:t>46 009</w:t>
      </w:r>
    </w:p>
    <w:p w:rsidR="00A02ECF" w:rsidRDefault="00A02ECF">
      <w:pPr>
        <w:spacing w:after="0"/>
        <w:jc w:val="both"/>
        <w:rPr>
          <w:b/>
          <w:i/>
        </w:rPr>
      </w:pPr>
    </w:p>
    <w:p w:rsidR="00A02ECF" w:rsidRDefault="006104A2">
      <w:pPr>
        <w:pStyle w:val="2"/>
        <w:jc w:val="both"/>
        <w:rPr>
          <w:bCs w:val="0"/>
          <w:color w:val="000000"/>
          <w:szCs w:val="20"/>
        </w:rPr>
      </w:pPr>
      <w:bookmarkStart w:id="253" w:name="_Toc230104331"/>
      <w:r>
        <w:rPr>
          <w:bCs w:val="0"/>
          <w:color w:val="000000"/>
          <w:szCs w:val="20"/>
        </w:rPr>
        <w:t>3.2. Сведения об акционерах (участниках, членах) эмитента или лицах, имеющих право распоряжаться голосами, приходящимися на голосующие акции (доли), составляющие уставный (складочный) капитал (паевой фонд) эмитента</w:t>
      </w:r>
      <w:bookmarkEnd w:id="253"/>
    </w:p>
    <w:p w:rsidR="00A02ECF" w:rsidRDefault="006104A2">
      <w:pPr>
        <w:spacing w:after="0"/>
        <w:jc w:val="both"/>
      </w:pPr>
      <w:r>
        <w:t>Лица, имеющие право распоряжаться не менее чем пятью процентами голосов, приходящихся на голосующие акции (доли, паи), составляющие уставный (складочный) капитал (паевой фонд) эмитента:</w:t>
      </w:r>
    </w:p>
    <w:p w:rsidR="00A02ECF" w:rsidRDefault="00A02ECF">
      <w:pPr>
        <w:spacing w:after="0"/>
        <w:ind w:left="142"/>
        <w:jc w:val="both"/>
      </w:pPr>
    </w:p>
    <w:p w:rsidR="00A02ECF" w:rsidRDefault="006104A2">
      <w:pPr>
        <w:widowControl/>
        <w:numPr>
          <w:ilvl w:val="0"/>
          <w:numId w:val="12"/>
        </w:numPr>
        <w:spacing w:before="0" w:after="0"/>
        <w:ind w:left="142"/>
        <w:contextualSpacing/>
        <w:jc w:val="both"/>
      </w:pPr>
      <w:r>
        <w:t>Полное фирменное наименование:</w:t>
      </w:r>
      <w:r>
        <w:rPr>
          <w:b/>
          <w:bCs/>
          <w:i/>
          <w:iCs/>
        </w:rPr>
        <w:t xml:space="preserve"> Российская Федерация в лице Федерального агентства по управлению государственным имуществом</w:t>
      </w:r>
    </w:p>
    <w:p w:rsidR="00A02ECF" w:rsidRDefault="006104A2">
      <w:pPr>
        <w:tabs>
          <w:tab w:val="left" w:pos="426"/>
        </w:tabs>
        <w:spacing w:after="0"/>
      </w:pPr>
      <w:r>
        <w:t>Сокращенное фирменное наименование:</w:t>
      </w:r>
      <w:r>
        <w:rPr>
          <w:b/>
          <w:bCs/>
          <w:i/>
          <w:iCs/>
        </w:rPr>
        <w:t xml:space="preserve"> не предусмотрено</w:t>
      </w:r>
    </w:p>
    <w:p w:rsidR="00A02ECF" w:rsidRDefault="006104A2">
      <w:pPr>
        <w:tabs>
          <w:tab w:val="left" w:pos="426"/>
        </w:tabs>
        <w:spacing w:after="0"/>
      </w:pPr>
      <w:r>
        <w:t xml:space="preserve">Место нахождения: </w:t>
      </w:r>
      <w:r>
        <w:rPr>
          <w:b/>
          <w:i/>
        </w:rPr>
        <w:t>г.</w:t>
      </w:r>
      <w:r>
        <w:t xml:space="preserve"> </w:t>
      </w:r>
      <w:r>
        <w:rPr>
          <w:b/>
          <w:bCs/>
          <w:i/>
          <w:iCs/>
        </w:rPr>
        <w:t>Москва</w:t>
      </w:r>
    </w:p>
    <w:p w:rsidR="00A02ECF" w:rsidRDefault="006104A2">
      <w:pPr>
        <w:tabs>
          <w:tab w:val="left" w:pos="426"/>
        </w:tabs>
        <w:spacing w:after="0"/>
      </w:pPr>
      <w:r>
        <w:t>ИНН:</w:t>
      </w:r>
      <w:r>
        <w:rPr>
          <w:b/>
          <w:bCs/>
          <w:i/>
          <w:iCs/>
        </w:rPr>
        <w:t xml:space="preserve"> 7710723134</w:t>
      </w:r>
    </w:p>
    <w:p w:rsidR="00A02ECF" w:rsidRDefault="006104A2">
      <w:pPr>
        <w:tabs>
          <w:tab w:val="left" w:pos="426"/>
        </w:tabs>
        <w:spacing w:after="0"/>
      </w:pPr>
      <w:r>
        <w:t>ОГРН:</w:t>
      </w:r>
      <w:r>
        <w:rPr>
          <w:b/>
          <w:bCs/>
          <w:i/>
          <w:iCs/>
        </w:rPr>
        <w:t xml:space="preserve"> 1087746829994</w:t>
      </w:r>
    </w:p>
    <w:p w:rsidR="00A02ECF" w:rsidRDefault="00A02ECF">
      <w:pPr>
        <w:tabs>
          <w:tab w:val="left" w:pos="426"/>
        </w:tabs>
        <w:spacing w:after="0"/>
        <w:jc w:val="both"/>
        <w:rPr>
          <w:b/>
          <w:i/>
          <w:u w:val="single"/>
        </w:rPr>
      </w:pPr>
    </w:p>
    <w:p w:rsidR="00A02ECF" w:rsidRDefault="006104A2">
      <w:pPr>
        <w:tabs>
          <w:tab w:val="left" w:pos="426"/>
        </w:tabs>
        <w:spacing w:after="0"/>
        <w:jc w:val="both"/>
      </w:pPr>
      <w:r>
        <w:t>Размер доли голосов в процентах, приходящихся на голосующие акции (доли, паи), составляющие уставный (складочный) капитал (паевой фонд) эмитента, которой имеет право распоряжаться лицо:</w:t>
      </w:r>
      <w:r>
        <w:rPr>
          <w:b/>
          <w:bCs/>
          <w:i/>
          <w:iCs/>
        </w:rPr>
        <w:t xml:space="preserve"> 40.78%</w:t>
      </w:r>
    </w:p>
    <w:p w:rsidR="00A02ECF" w:rsidRDefault="00A02ECF">
      <w:pPr>
        <w:tabs>
          <w:tab w:val="left" w:pos="426"/>
        </w:tabs>
        <w:spacing w:after="0"/>
        <w:jc w:val="both"/>
      </w:pPr>
    </w:p>
    <w:p w:rsidR="00A02ECF" w:rsidRDefault="006104A2">
      <w:pPr>
        <w:tabs>
          <w:tab w:val="left" w:pos="426"/>
        </w:tabs>
        <w:spacing w:after="0"/>
        <w:jc w:val="both"/>
      </w:pPr>
      <w:r>
        <w:t>Вид права распоряжения голосами, приходящимися на голосующие акции (доли, паи), составляющие уставный (складочный) капитал (паевой фонд) эмитента, которым обладает лицо (</w:t>
      </w:r>
      <w:r>
        <w:rPr>
          <w:i/>
        </w:rPr>
        <w:t>прямое распоряжение; косвенное распоряжение</w:t>
      </w:r>
      <w:r>
        <w:t>):</w:t>
      </w:r>
      <w:r>
        <w:rPr>
          <w:b/>
          <w:bCs/>
          <w:i/>
          <w:iCs/>
        </w:rPr>
        <w:t xml:space="preserve"> </w:t>
      </w:r>
      <w:r>
        <w:rPr>
          <w:b/>
          <w:i/>
        </w:rPr>
        <w:t>прямое распоряжение</w:t>
      </w:r>
    </w:p>
    <w:p w:rsidR="00A02ECF" w:rsidRDefault="00A02ECF">
      <w:pPr>
        <w:spacing w:after="0"/>
        <w:jc w:val="both"/>
      </w:pPr>
    </w:p>
    <w:p w:rsidR="00A02ECF" w:rsidRDefault="006104A2">
      <w:pPr>
        <w:spacing w:after="0"/>
        <w:jc w:val="both"/>
      </w:pPr>
      <w:r>
        <w:t>Признак права распоряжения голосами, приходящимися на голосующие акции (доли, паи), составляющие уставный (складочный) капитал (паевой фонд) эмитента, которым обладает лицо (</w:t>
      </w:r>
      <w:r>
        <w:rPr>
          <w:i/>
        </w:rPr>
        <w:t>самостоятельное распоряжение; совместное распоряжение с иными лицами</w:t>
      </w:r>
      <w:r>
        <w:t xml:space="preserve">): </w:t>
      </w:r>
      <w:r>
        <w:rPr>
          <w:b/>
          <w:i/>
        </w:rPr>
        <w:t>самостоятельное распоряжение</w:t>
      </w:r>
    </w:p>
    <w:p w:rsidR="00A02ECF" w:rsidRDefault="00A02ECF">
      <w:pPr>
        <w:spacing w:after="0"/>
        <w:jc w:val="both"/>
      </w:pPr>
    </w:p>
    <w:p w:rsidR="00A02ECF" w:rsidRDefault="006104A2">
      <w:pPr>
        <w:spacing w:after="0"/>
        <w:jc w:val="both"/>
        <w:rPr>
          <w:b/>
          <w:i/>
        </w:rPr>
      </w:pPr>
      <w:r>
        <w:t>Основание, в силу которого лицо имеет право распоряжаться голосами, приходящимися на голосующие акции (доли, паи), составляющие уставный (складочный) капитал (паевой фонд) эмитента (</w:t>
      </w:r>
      <w:r>
        <w:rPr>
          <w:i/>
        </w:rPr>
        <w:t>участие (доля участия в уставном (складочном) капитале) в эмитенте, пай, договор доверительного управления имуществом, договор простого товарищества, договор поручения, акционерное соглашение, иное соглашение, предметом которого является осуществление прав, удостоверенных акциями (долями) эмитента</w:t>
      </w:r>
      <w:r>
        <w:t xml:space="preserve">): </w:t>
      </w:r>
      <w:r>
        <w:rPr>
          <w:b/>
          <w:i/>
        </w:rPr>
        <w:t>участие (доля участия в уставном капитале) в эмитенте</w:t>
      </w:r>
    </w:p>
    <w:p w:rsidR="00A02ECF" w:rsidRDefault="00A02ECF">
      <w:pPr>
        <w:spacing w:after="0"/>
      </w:pPr>
    </w:p>
    <w:p w:rsidR="00A02ECF" w:rsidRDefault="006104A2">
      <w:pPr>
        <w:spacing w:after="0"/>
        <w:jc w:val="both"/>
      </w:pPr>
      <w:r>
        <w:t xml:space="preserve">Иные сведения, указываемые эмитентом по собственному усмотрению: </w:t>
      </w:r>
      <w:r>
        <w:rPr>
          <w:b/>
          <w:bCs/>
          <w:i/>
          <w:iCs/>
        </w:rPr>
        <w:t>иных сведений нет.</w:t>
      </w:r>
    </w:p>
    <w:p w:rsidR="00A02ECF" w:rsidRDefault="00A02ECF">
      <w:pPr>
        <w:spacing w:after="0"/>
      </w:pPr>
    </w:p>
    <w:p w:rsidR="00A02ECF" w:rsidRDefault="006104A2">
      <w:pPr>
        <w:tabs>
          <w:tab w:val="left" w:pos="567"/>
        </w:tabs>
        <w:spacing w:after="0"/>
        <w:jc w:val="both"/>
      </w:pPr>
      <w:r>
        <w:t>Размер доли голосов в процентах, приходящихся на голосующие акции (доли, паи), составляющие уставный (складочный) капитал (паевой фонд) эмитента, которой имеет право распоряжаться лицо:</w:t>
      </w:r>
      <w:r>
        <w:rPr>
          <w:b/>
          <w:bCs/>
          <w:i/>
          <w:iCs/>
        </w:rPr>
        <w:t xml:space="preserve"> 11.66%</w:t>
      </w:r>
    </w:p>
    <w:p w:rsidR="00A02ECF" w:rsidRDefault="006104A2">
      <w:pPr>
        <w:tabs>
          <w:tab w:val="left" w:pos="993"/>
        </w:tabs>
        <w:spacing w:after="0"/>
        <w:jc w:val="both"/>
      </w:pPr>
      <w:r>
        <w:t>Вид права распоряжения голосами, приходящимися на голосующие акции (доли, паи), составляющие уставный (складочный) капитал (паевой фонд) эмитента, которым обладает лицо (</w:t>
      </w:r>
      <w:r>
        <w:rPr>
          <w:i/>
        </w:rPr>
        <w:t>прямое распоряжение; косвенное распоряжение</w:t>
      </w:r>
      <w:r>
        <w:t>):</w:t>
      </w:r>
      <w:r>
        <w:rPr>
          <w:b/>
          <w:bCs/>
          <w:i/>
          <w:iCs/>
        </w:rPr>
        <w:t xml:space="preserve"> </w:t>
      </w:r>
      <w:r>
        <w:rPr>
          <w:b/>
          <w:i/>
        </w:rPr>
        <w:t>косвенное распоряжение</w:t>
      </w:r>
    </w:p>
    <w:p w:rsidR="00A02ECF" w:rsidRDefault="00A02ECF">
      <w:pPr>
        <w:spacing w:after="0"/>
      </w:pPr>
    </w:p>
    <w:p w:rsidR="00A02ECF" w:rsidRDefault="006104A2">
      <w:pPr>
        <w:spacing w:after="0"/>
        <w:jc w:val="both"/>
      </w:pPr>
      <w:r>
        <w:t>В случае косвенного распоряжения - последовательно все подконтрольные организации (цепочка организаций, находящихся под прямым или косвенным контролем лица), через которые такое лицо имеет право косвенно распоряжаться голосами, приходящимися на голосующие акции (доли, паи), составляющие уставный (складочный) капитал (паевой фонд) эмитента:</w:t>
      </w:r>
    </w:p>
    <w:p w:rsidR="00A02ECF" w:rsidRDefault="006104A2">
      <w:pPr>
        <w:spacing w:after="0"/>
      </w:pPr>
      <w:r>
        <w:t>Полное фирменное наименование:</w:t>
      </w:r>
      <w:r>
        <w:rPr>
          <w:b/>
          <w:bCs/>
          <w:i/>
          <w:iCs/>
        </w:rPr>
        <w:t xml:space="preserve"> Акционерное общество «РОСНЕФТЕГАЗ»</w:t>
      </w:r>
    </w:p>
    <w:p w:rsidR="00A02ECF" w:rsidRDefault="006104A2">
      <w:pPr>
        <w:spacing w:after="0"/>
      </w:pPr>
      <w:r>
        <w:t>Сокращенное фирменное наименование:</w:t>
      </w:r>
      <w:r>
        <w:rPr>
          <w:b/>
          <w:bCs/>
          <w:i/>
          <w:iCs/>
        </w:rPr>
        <w:t xml:space="preserve"> АО «РОСНЕФТЕГАЗ»</w:t>
      </w:r>
    </w:p>
    <w:p w:rsidR="00A02ECF" w:rsidRDefault="006104A2">
      <w:pPr>
        <w:spacing w:after="0"/>
      </w:pPr>
      <w:r>
        <w:t xml:space="preserve">Место нахождения: </w:t>
      </w:r>
      <w:r>
        <w:rPr>
          <w:b/>
          <w:bCs/>
          <w:i/>
          <w:iCs/>
        </w:rPr>
        <w:t>Российская Федерация, г. Москва</w:t>
      </w:r>
    </w:p>
    <w:p w:rsidR="00A02ECF" w:rsidRDefault="006104A2">
      <w:pPr>
        <w:spacing w:after="0"/>
      </w:pPr>
      <w:r>
        <w:t>ИНН:</w:t>
      </w:r>
      <w:r>
        <w:rPr>
          <w:b/>
          <w:bCs/>
          <w:i/>
          <w:iCs/>
        </w:rPr>
        <w:t xml:space="preserve"> 7705630445</w:t>
      </w:r>
    </w:p>
    <w:p w:rsidR="00A02ECF" w:rsidRDefault="006104A2">
      <w:pPr>
        <w:spacing w:after="0"/>
      </w:pPr>
      <w:r>
        <w:t>ОГРН:</w:t>
      </w:r>
      <w:r>
        <w:rPr>
          <w:b/>
          <w:bCs/>
          <w:i/>
          <w:iCs/>
        </w:rPr>
        <w:t xml:space="preserve"> 1047796902966</w:t>
      </w:r>
    </w:p>
    <w:p w:rsidR="00A02ECF" w:rsidRDefault="006104A2">
      <w:pPr>
        <w:tabs>
          <w:tab w:val="left" w:pos="993"/>
        </w:tabs>
        <w:spacing w:after="0"/>
        <w:jc w:val="both"/>
      </w:pPr>
      <w:r>
        <w:t>Признак права распоряжения голосами, приходящимися на голосующие акции (доли, паи), составляющие уставный (складочный) капитал (паевой фонд) эмитента, которым обладает лицо (</w:t>
      </w:r>
      <w:r>
        <w:rPr>
          <w:i/>
        </w:rPr>
        <w:t>самостоятельное распоряжение; совместное распоряжение с иными лицами</w:t>
      </w:r>
      <w:r>
        <w:t xml:space="preserve">): </w:t>
      </w:r>
      <w:r>
        <w:rPr>
          <w:b/>
          <w:i/>
        </w:rPr>
        <w:t xml:space="preserve">самостоятельное распоряжение </w:t>
      </w:r>
    </w:p>
    <w:p w:rsidR="00A02ECF" w:rsidRDefault="00A02ECF">
      <w:pPr>
        <w:spacing w:after="0"/>
        <w:jc w:val="both"/>
      </w:pPr>
    </w:p>
    <w:p w:rsidR="00A02ECF" w:rsidRDefault="006104A2">
      <w:pPr>
        <w:spacing w:after="0"/>
        <w:jc w:val="both"/>
        <w:rPr>
          <w:b/>
          <w:i/>
        </w:rPr>
      </w:pPr>
      <w:r>
        <w:t>Основание, в силу которого лицо имеет право распоряжаться голосами, приходящимися на голосующие акции (доли, паи), составляющие уставный (складочный) капитал (паевой фонд) эмитента (</w:t>
      </w:r>
      <w:r>
        <w:rPr>
          <w:i/>
        </w:rPr>
        <w:t xml:space="preserve">участие (доля участия в уставном (складочном) капитале) в эмитенте, пай, договор доверительного управления имуществом, договор простого товарищества, договор поручения, акционерное соглашение, иное соглашение, предметом которого является осуществление прав, удостоверенных акциями (долями) </w:t>
      </w:r>
      <w:r>
        <w:rPr>
          <w:i/>
        </w:rPr>
        <w:lastRenderedPageBreak/>
        <w:t>эмитента</w:t>
      </w:r>
      <w:r>
        <w:t xml:space="preserve">): </w:t>
      </w:r>
      <w:r>
        <w:rPr>
          <w:b/>
          <w:i/>
        </w:rPr>
        <w:t>участие (доля участия в уставном капитале) в эмитенте</w:t>
      </w:r>
    </w:p>
    <w:p w:rsidR="00A02ECF" w:rsidRDefault="006104A2">
      <w:pPr>
        <w:spacing w:after="0"/>
        <w:jc w:val="both"/>
      </w:pPr>
      <w:r>
        <w:t xml:space="preserve">Иные сведения, указываемые эмитентом по собственному усмотрению: </w:t>
      </w:r>
    </w:p>
    <w:p w:rsidR="00A02ECF" w:rsidRDefault="006104A2">
      <w:pPr>
        <w:spacing w:after="0"/>
        <w:jc w:val="both"/>
        <w:rPr>
          <w:b/>
          <w:bCs/>
          <w:i/>
          <w:iCs/>
        </w:rPr>
      </w:pPr>
      <w:r>
        <w:t xml:space="preserve">Доля участия </w:t>
      </w:r>
      <w:r>
        <w:rPr>
          <w:b/>
          <w:bCs/>
          <w:i/>
          <w:iCs/>
        </w:rPr>
        <w:t>Российской Федерации в лице Федерального агентства по управлению государственным имуществом</w:t>
      </w:r>
      <w:r>
        <w:t xml:space="preserve"> в уставном капитале </w:t>
      </w:r>
      <w:r>
        <w:rPr>
          <w:b/>
          <w:i/>
        </w:rPr>
        <w:t>АО «</w:t>
      </w:r>
      <w:r>
        <w:rPr>
          <w:b/>
          <w:bCs/>
          <w:i/>
          <w:iCs/>
        </w:rPr>
        <w:t>РОСНЕФТЕГАЗ</w:t>
      </w:r>
      <w:r>
        <w:t>»:</w:t>
      </w:r>
      <w:r>
        <w:rPr>
          <w:b/>
          <w:bCs/>
          <w:i/>
          <w:iCs/>
        </w:rPr>
        <w:t xml:space="preserve"> 100%</w:t>
      </w:r>
    </w:p>
    <w:p w:rsidR="00A02ECF" w:rsidRDefault="006104A2">
      <w:pPr>
        <w:spacing w:after="0"/>
        <w:jc w:val="both"/>
      </w:pPr>
      <w:r>
        <w:t xml:space="preserve">Доля принадлежащих </w:t>
      </w:r>
      <w:r>
        <w:rPr>
          <w:b/>
          <w:bCs/>
          <w:i/>
          <w:iCs/>
        </w:rPr>
        <w:t>Российской Федерации в лице Федерального агентства по</w:t>
      </w:r>
      <w:r>
        <w:rPr>
          <w:b/>
          <w:bCs/>
          <w:i/>
          <w:iCs/>
          <w:lang w:val="en-US"/>
        </w:rPr>
        <w:t> </w:t>
      </w:r>
      <w:r>
        <w:rPr>
          <w:b/>
          <w:bCs/>
          <w:i/>
          <w:iCs/>
        </w:rPr>
        <w:t>управлению государственным имуществом</w:t>
      </w:r>
      <w:r>
        <w:t xml:space="preserve"> обыкновенных акций </w:t>
      </w:r>
      <w:r>
        <w:rPr>
          <w:b/>
          <w:i/>
        </w:rPr>
        <w:t>АО «</w:t>
      </w:r>
      <w:r>
        <w:rPr>
          <w:b/>
          <w:bCs/>
          <w:i/>
          <w:iCs/>
        </w:rPr>
        <w:t>РОСНЕФТЕГАЗ</w:t>
      </w:r>
      <w:r>
        <w:rPr>
          <w:b/>
          <w:i/>
        </w:rPr>
        <w:t>»:</w:t>
      </w:r>
      <w:r>
        <w:t xml:space="preserve"> </w:t>
      </w:r>
      <w:r>
        <w:rPr>
          <w:b/>
          <w:i/>
        </w:rPr>
        <w:t>100%</w:t>
      </w:r>
    </w:p>
    <w:p w:rsidR="00A02ECF" w:rsidRDefault="00A02ECF">
      <w:pPr>
        <w:tabs>
          <w:tab w:val="left" w:pos="426"/>
        </w:tabs>
        <w:spacing w:after="0"/>
      </w:pPr>
    </w:p>
    <w:p w:rsidR="00A02ECF" w:rsidRDefault="006104A2">
      <w:pPr>
        <w:tabs>
          <w:tab w:val="left" w:pos="426"/>
        </w:tabs>
        <w:spacing w:after="0"/>
        <w:jc w:val="both"/>
      </w:pPr>
      <w:r>
        <w:t>Размер доли голосов в процентах, приходящихся на голосующие акции (доли, паи), составляющие уставный (складочный) капитал (паевой фонд) эмитента, которой имеет право распоряжаться лицо:</w:t>
      </w:r>
      <w:r>
        <w:rPr>
          <w:b/>
          <w:bCs/>
          <w:i/>
          <w:iCs/>
        </w:rPr>
        <w:t xml:space="preserve"> 0.94%</w:t>
      </w:r>
    </w:p>
    <w:p w:rsidR="00A02ECF" w:rsidRDefault="006104A2">
      <w:pPr>
        <w:tabs>
          <w:tab w:val="left" w:pos="993"/>
        </w:tabs>
        <w:spacing w:after="0"/>
        <w:jc w:val="both"/>
      </w:pPr>
      <w:r>
        <w:t>Вид права распоряжения голосами, приходящимися на голосующие акции (доли, паи), составляющие уставный (складочный) капитал (паевой фонд) эмитента, которым обладает лицо (</w:t>
      </w:r>
      <w:r>
        <w:rPr>
          <w:i/>
        </w:rPr>
        <w:t>прямое распоряжение; косвенное распоряжение</w:t>
      </w:r>
      <w:r>
        <w:t>):</w:t>
      </w:r>
      <w:r>
        <w:rPr>
          <w:b/>
          <w:bCs/>
          <w:i/>
          <w:iCs/>
        </w:rPr>
        <w:t xml:space="preserve"> </w:t>
      </w:r>
      <w:r>
        <w:rPr>
          <w:b/>
          <w:i/>
        </w:rPr>
        <w:t>косвенное распоряжение</w:t>
      </w:r>
    </w:p>
    <w:p w:rsidR="00A02ECF" w:rsidRDefault="00A02ECF">
      <w:pPr>
        <w:spacing w:after="0"/>
      </w:pPr>
    </w:p>
    <w:p w:rsidR="00A02ECF" w:rsidRDefault="006104A2">
      <w:pPr>
        <w:spacing w:after="0"/>
        <w:jc w:val="both"/>
      </w:pPr>
      <w:r>
        <w:t>В случае косвенного распоряжения - последовательно все подконтрольные организации (цепочка организаций, находящихся под прямым или косвенным контролем лица), через которые такое лицо имеет право косвенно распоряжаться голосами, приходящимися на голосующие акции (доли, паи), составляющие уставный (складочный) капитал (паевой фонд) эмитента:</w:t>
      </w:r>
    </w:p>
    <w:p w:rsidR="00A02ECF" w:rsidRDefault="006104A2">
      <w:pPr>
        <w:spacing w:after="0"/>
      </w:pPr>
      <w:r>
        <w:t>Полное фирменное наименование:</w:t>
      </w:r>
      <w:r>
        <w:rPr>
          <w:b/>
          <w:bCs/>
          <w:i/>
          <w:iCs/>
        </w:rPr>
        <w:t xml:space="preserve"> Акционерное общество «РОСНЕФТЕГАЗ»</w:t>
      </w:r>
    </w:p>
    <w:p w:rsidR="00A02ECF" w:rsidRDefault="006104A2">
      <w:pPr>
        <w:spacing w:after="0"/>
      </w:pPr>
      <w:r>
        <w:t>Сокращенное фирменное наименование:</w:t>
      </w:r>
      <w:r>
        <w:rPr>
          <w:b/>
          <w:bCs/>
          <w:i/>
          <w:iCs/>
        </w:rPr>
        <w:t xml:space="preserve"> АО «РОСНЕФТЕГАЗ»</w:t>
      </w:r>
    </w:p>
    <w:p w:rsidR="00A02ECF" w:rsidRDefault="006104A2">
      <w:pPr>
        <w:spacing w:after="0"/>
      </w:pPr>
      <w:r>
        <w:t xml:space="preserve">Место нахождения: </w:t>
      </w:r>
      <w:r>
        <w:rPr>
          <w:b/>
          <w:bCs/>
          <w:i/>
          <w:iCs/>
        </w:rPr>
        <w:t>Российская Федерация, г. Москва</w:t>
      </w:r>
    </w:p>
    <w:p w:rsidR="00A02ECF" w:rsidRDefault="006104A2">
      <w:pPr>
        <w:spacing w:after="0"/>
      </w:pPr>
      <w:r>
        <w:t>ИНН:</w:t>
      </w:r>
      <w:r>
        <w:rPr>
          <w:b/>
          <w:bCs/>
          <w:i/>
          <w:iCs/>
        </w:rPr>
        <w:t xml:space="preserve"> 7705630445</w:t>
      </w:r>
    </w:p>
    <w:p w:rsidR="00A02ECF" w:rsidRDefault="006104A2">
      <w:pPr>
        <w:spacing w:after="0"/>
      </w:pPr>
      <w:r>
        <w:t>ОГРН:</w:t>
      </w:r>
      <w:r>
        <w:rPr>
          <w:b/>
          <w:bCs/>
          <w:i/>
          <w:iCs/>
        </w:rPr>
        <w:t xml:space="preserve"> 1047796902966</w:t>
      </w:r>
    </w:p>
    <w:p w:rsidR="00A02ECF" w:rsidRDefault="006104A2">
      <w:pPr>
        <w:tabs>
          <w:tab w:val="left" w:pos="1701"/>
        </w:tabs>
        <w:spacing w:after="0"/>
        <w:rPr>
          <w:b/>
          <w:i/>
        </w:rPr>
      </w:pPr>
      <w:r>
        <w:t>Полное фирменное наименование:</w:t>
      </w:r>
      <w:r>
        <w:rPr>
          <w:b/>
          <w:bCs/>
          <w:i/>
          <w:iCs/>
        </w:rPr>
        <w:t xml:space="preserve"> Акционерное общество «</w:t>
      </w:r>
      <w:r>
        <w:rPr>
          <w:b/>
          <w:i/>
        </w:rPr>
        <w:t>Росгазификация</w:t>
      </w:r>
      <w:r>
        <w:rPr>
          <w:b/>
          <w:bCs/>
          <w:i/>
          <w:iCs/>
        </w:rPr>
        <w:t>»</w:t>
      </w:r>
    </w:p>
    <w:p w:rsidR="00A02ECF" w:rsidRDefault="006104A2">
      <w:pPr>
        <w:tabs>
          <w:tab w:val="left" w:pos="1701"/>
        </w:tabs>
        <w:spacing w:after="0"/>
      </w:pPr>
      <w:r>
        <w:t>Сокращенное фирменное наименование:</w:t>
      </w:r>
      <w:r>
        <w:rPr>
          <w:b/>
          <w:bCs/>
          <w:i/>
          <w:iCs/>
        </w:rPr>
        <w:t xml:space="preserve"> АО «</w:t>
      </w:r>
      <w:r>
        <w:rPr>
          <w:b/>
          <w:i/>
        </w:rPr>
        <w:t>Росгазификация</w:t>
      </w:r>
      <w:r>
        <w:rPr>
          <w:b/>
          <w:bCs/>
          <w:i/>
          <w:iCs/>
        </w:rPr>
        <w:t>»</w:t>
      </w:r>
    </w:p>
    <w:p w:rsidR="00A02ECF" w:rsidRDefault="006104A2">
      <w:pPr>
        <w:tabs>
          <w:tab w:val="left" w:pos="1701"/>
        </w:tabs>
        <w:spacing w:after="0"/>
      </w:pPr>
      <w:r>
        <w:t xml:space="preserve">Место нахождения: </w:t>
      </w:r>
      <w:r>
        <w:rPr>
          <w:b/>
          <w:bCs/>
          <w:i/>
          <w:iCs/>
        </w:rPr>
        <w:t>Российская Федерация, г. Москва</w:t>
      </w:r>
    </w:p>
    <w:p w:rsidR="00A02ECF" w:rsidRDefault="006104A2">
      <w:pPr>
        <w:tabs>
          <w:tab w:val="left" w:pos="1701"/>
        </w:tabs>
        <w:spacing w:after="0"/>
      </w:pPr>
      <w:r>
        <w:t>ИНН:</w:t>
      </w:r>
      <w:r>
        <w:rPr>
          <w:b/>
          <w:bCs/>
          <w:i/>
          <w:iCs/>
        </w:rPr>
        <w:t xml:space="preserve"> </w:t>
      </w:r>
      <w:r>
        <w:rPr>
          <w:b/>
          <w:i/>
        </w:rPr>
        <w:t>7719040220</w:t>
      </w:r>
    </w:p>
    <w:p w:rsidR="00A02ECF" w:rsidRDefault="006104A2">
      <w:pPr>
        <w:tabs>
          <w:tab w:val="left" w:pos="1701"/>
        </w:tabs>
        <w:spacing w:after="0"/>
        <w:rPr>
          <w:b/>
          <w:i/>
        </w:rPr>
      </w:pPr>
      <w:r>
        <w:t xml:space="preserve">ОГРН: </w:t>
      </w:r>
      <w:r>
        <w:rPr>
          <w:b/>
          <w:i/>
        </w:rPr>
        <w:t>1027739033410</w:t>
      </w:r>
    </w:p>
    <w:p w:rsidR="00A02ECF" w:rsidRDefault="006104A2">
      <w:pPr>
        <w:spacing w:after="0"/>
        <w:jc w:val="both"/>
      </w:pPr>
      <w:r>
        <w:t>Признак права распоряжения голосами, приходящимися на голосующие акции (доли, паи), составляющие уставный (складочный) капитал (паевой фонд) эмитента, которым обладает лицо (</w:t>
      </w:r>
      <w:r>
        <w:rPr>
          <w:i/>
        </w:rPr>
        <w:t>самостоятельное распоряжение; совместное распоряжение с иными лицами</w:t>
      </w:r>
      <w:r>
        <w:t xml:space="preserve">): </w:t>
      </w:r>
      <w:r>
        <w:rPr>
          <w:b/>
          <w:i/>
        </w:rPr>
        <w:t xml:space="preserve">самостоятельное распоряжение </w:t>
      </w:r>
    </w:p>
    <w:p w:rsidR="00A02ECF" w:rsidRDefault="00A02ECF">
      <w:pPr>
        <w:spacing w:after="0"/>
        <w:jc w:val="both"/>
      </w:pPr>
    </w:p>
    <w:p w:rsidR="00A02ECF" w:rsidRDefault="006104A2">
      <w:pPr>
        <w:spacing w:after="0"/>
        <w:jc w:val="both"/>
        <w:rPr>
          <w:b/>
          <w:i/>
        </w:rPr>
      </w:pPr>
      <w:r>
        <w:t xml:space="preserve">Основание, в силу которого лицо имеет право распоряжаться голосами, приходящимися на голосующие акции (доли, паи), составляющие уставный (складочный) капитал (паевой фонд) эмитента </w:t>
      </w:r>
      <w:r>
        <w:rPr>
          <w:i/>
        </w:rPr>
        <w:t>(участие (доля участия в уставном (складочном) капитале) в эмитенте, пай, договор доверительного управления имуществом, договор простого товарищества, договор поручения, акционерное соглашение, иное соглашение, предметом которого является осуществление прав, удостоверенных акциями (долями) эмитента</w:t>
      </w:r>
      <w:r>
        <w:t xml:space="preserve">): </w:t>
      </w:r>
      <w:r>
        <w:rPr>
          <w:b/>
          <w:i/>
        </w:rPr>
        <w:t>участие (доля участия в уставном капитале) в эмитенте</w:t>
      </w:r>
    </w:p>
    <w:p w:rsidR="00A02ECF" w:rsidRDefault="00A02ECF">
      <w:pPr>
        <w:spacing w:after="0"/>
        <w:jc w:val="both"/>
      </w:pPr>
    </w:p>
    <w:p w:rsidR="00A02ECF" w:rsidRDefault="00A02ECF">
      <w:pPr>
        <w:spacing w:after="0"/>
        <w:jc w:val="both"/>
      </w:pPr>
    </w:p>
    <w:p w:rsidR="00A02ECF" w:rsidRDefault="006104A2">
      <w:pPr>
        <w:tabs>
          <w:tab w:val="left" w:pos="6735"/>
        </w:tabs>
        <w:spacing w:after="0"/>
      </w:pPr>
      <w:r>
        <w:t>Иные сведения, указываемые эмитентом по собственному усмотрению:</w:t>
      </w:r>
      <w:r>
        <w:tab/>
      </w:r>
    </w:p>
    <w:p w:rsidR="00A02ECF" w:rsidRDefault="006104A2">
      <w:pPr>
        <w:spacing w:after="0"/>
        <w:jc w:val="both"/>
        <w:rPr>
          <w:b/>
          <w:bCs/>
          <w:i/>
          <w:iCs/>
        </w:rPr>
      </w:pPr>
      <w:r>
        <w:rPr>
          <w:b/>
          <w:bCs/>
          <w:i/>
          <w:iCs/>
        </w:rPr>
        <w:t>С учетом голосующих акций ПАО «Газпром», принадлежащих компаниям АО «РОСНЕФТЕГАЗ» и АО «Росгазификация», Российская Федерация имеет право распоряжаться более 53% голосов, приходящихся на голосующие акции, составляющие уставный капитал ПАО «Газпром».</w:t>
      </w:r>
    </w:p>
    <w:p w:rsidR="00A02ECF" w:rsidRDefault="00A02ECF">
      <w:pPr>
        <w:spacing w:after="0"/>
        <w:ind w:left="142"/>
        <w:jc w:val="both"/>
      </w:pPr>
    </w:p>
    <w:p w:rsidR="00A02ECF" w:rsidRDefault="00A02ECF">
      <w:pPr>
        <w:spacing w:after="0"/>
        <w:ind w:left="142"/>
      </w:pPr>
    </w:p>
    <w:p w:rsidR="00A02ECF" w:rsidRDefault="006104A2">
      <w:pPr>
        <w:widowControl/>
        <w:numPr>
          <w:ilvl w:val="0"/>
          <w:numId w:val="12"/>
        </w:numPr>
        <w:spacing w:before="0" w:after="0"/>
        <w:ind w:left="142"/>
        <w:contextualSpacing/>
        <w:jc w:val="both"/>
      </w:pPr>
      <w:r>
        <w:t>Полное фирменное наименование:</w:t>
      </w:r>
      <w:r>
        <w:rPr>
          <w:b/>
          <w:bCs/>
          <w:i/>
          <w:iCs/>
        </w:rPr>
        <w:t xml:space="preserve"> Акционерное общество «РОСНЕФТЕГАЗ»</w:t>
      </w:r>
    </w:p>
    <w:p w:rsidR="00A02ECF" w:rsidRDefault="006104A2">
      <w:pPr>
        <w:tabs>
          <w:tab w:val="left" w:pos="426"/>
        </w:tabs>
        <w:spacing w:after="0"/>
      </w:pPr>
      <w:r>
        <w:t>Сокращенное фирменное наименование:</w:t>
      </w:r>
      <w:r>
        <w:rPr>
          <w:b/>
          <w:bCs/>
          <w:i/>
          <w:iCs/>
        </w:rPr>
        <w:t xml:space="preserve"> АО «РОСНЕФТЕГАЗ»</w:t>
      </w:r>
    </w:p>
    <w:p w:rsidR="00A02ECF" w:rsidRDefault="006104A2">
      <w:pPr>
        <w:tabs>
          <w:tab w:val="left" w:pos="426"/>
        </w:tabs>
        <w:spacing w:after="0"/>
      </w:pPr>
      <w:r>
        <w:t xml:space="preserve">Место нахождения: </w:t>
      </w:r>
      <w:r>
        <w:rPr>
          <w:b/>
          <w:bCs/>
          <w:i/>
          <w:iCs/>
        </w:rPr>
        <w:t>Российская Федерация, г. Москва</w:t>
      </w:r>
      <w:r>
        <w:t xml:space="preserve"> </w:t>
      </w:r>
    </w:p>
    <w:p w:rsidR="00A02ECF" w:rsidRDefault="006104A2">
      <w:pPr>
        <w:tabs>
          <w:tab w:val="left" w:pos="426"/>
        </w:tabs>
        <w:spacing w:after="0"/>
      </w:pPr>
      <w:r>
        <w:t>ИНН:</w:t>
      </w:r>
      <w:r>
        <w:rPr>
          <w:b/>
          <w:bCs/>
          <w:i/>
          <w:iCs/>
        </w:rPr>
        <w:t xml:space="preserve"> 7705630445</w:t>
      </w:r>
    </w:p>
    <w:p w:rsidR="00A02ECF" w:rsidRDefault="006104A2">
      <w:pPr>
        <w:tabs>
          <w:tab w:val="left" w:pos="426"/>
        </w:tabs>
        <w:spacing w:after="0"/>
        <w:rPr>
          <w:b/>
          <w:bCs/>
          <w:i/>
          <w:iCs/>
        </w:rPr>
      </w:pPr>
      <w:r>
        <w:t>ОГРН:</w:t>
      </w:r>
      <w:r>
        <w:rPr>
          <w:b/>
          <w:bCs/>
          <w:i/>
          <w:iCs/>
        </w:rPr>
        <w:t xml:space="preserve"> 1047796902966</w:t>
      </w:r>
    </w:p>
    <w:p w:rsidR="00A02ECF" w:rsidRDefault="00A02ECF">
      <w:pPr>
        <w:tabs>
          <w:tab w:val="left" w:pos="426"/>
        </w:tabs>
        <w:spacing w:after="0"/>
        <w:rPr>
          <w:b/>
          <w:i/>
          <w:u w:val="single"/>
        </w:rPr>
      </w:pPr>
    </w:p>
    <w:p w:rsidR="00A02ECF" w:rsidRDefault="006104A2">
      <w:pPr>
        <w:tabs>
          <w:tab w:val="left" w:pos="567"/>
        </w:tabs>
        <w:spacing w:after="0"/>
        <w:jc w:val="both"/>
      </w:pPr>
      <w:r>
        <w:t>Размер доли голосов в процентах, приходящихся на голосующие акции (доли, паи), составляющие уставный (складочный) капитал (паевой фонд) эмитента, которой имеет право распоряжаться лицо:</w:t>
      </w:r>
      <w:r>
        <w:rPr>
          <w:b/>
          <w:bCs/>
          <w:i/>
          <w:iCs/>
        </w:rPr>
        <w:t xml:space="preserve"> 11.66%</w:t>
      </w:r>
    </w:p>
    <w:p w:rsidR="00A02ECF" w:rsidRDefault="006104A2">
      <w:pPr>
        <w:tabs>
          <w:tab w:val="left" w:pos="426"/>
        </w:tabs>
        <w:spacing w:after="0"/>
        <w:jc w:val="both"/>
      </w:pPr>
      <w:r>
        <w:t xml:space="preserve"> </w:t>
      </w:r>
    </w:p>
    <w:p w:rsidR="00A02ECF" w:rsidRDefault="006104A2">
      <w:pPr>
        <w:spacing w:after="0"/>
        <w:jc w:val="both"/>
      </w:pPr>
      <w:r>
        <w:t>Вид права распоряжения голосами, приходящимися на голосующие акции (доли, паи), составляющие уставный (складочный) капитал (паевой фонд) эмитента, которым обладает лицо (</w:t>
      </w:r>
      <w:r>
        <w:rPr>
          <w:i/>
        </w:rPr>
        <w:t>прямое распоряжение; косвенное распоряжение</w:t>
      </w:r>
      <w:r>
        <w:t>):</w:t>
      </w:r>
      <w:r>
        <w:rPr>
          <w:b/>
          <w:bCs/>
          <w:i/>
          <w:iCs/>
        </w:rPr>
        <w:t xml:space="preserve"> </w:t>
      </w:r>
      <w:r>
        <w:rPr>
          <w:b/>
          <w:i/>
        </w:rPr>
        <w:t>прямое распоряжение</w:t>
      </w:r>
    </w:p>
    <w:p w:rsidR="00A02ECF" w:rsidRDefault="00A02ECF">
      <w:pPr>
        <w:spacing w:after="0"/>
        <w:jc w:val="both"/>
      </w:pPr>
    </w:p>
    <w:p w:rsidR="00A02ECF" w:rsidRDefault="006104A2">
      <w:pPr>
        <w:spacing w:after="0"/>
        <w:jc w:val="both"/>
      </w:pPr>
      <w:r>
        <w:t xml:space="preserve">Признак права распоряжения голосами, приходящимися на голосующие акции (доли, паи), составляющие </w:t>
      </w:r>
      <w:r>
        <w:lastRenderedPageBreak/>
        <w:t>уставный (складочный) капитал (паевой фонд) эмитента, которым обладает лицо (</w:t>
      </w:r>
      <w:r>
        <w:rPr>
          <w:i/>
        </w:rPr>
        <w:t>самостоятельное распоряжение; совместное распоряжение с иными лицами</w:t>
      </w:r>
      <w:r>
        <w:t xml:space="preserve">): </w:t>
      </w:r>
      <w:r>
        <w:rPr>
          <w:b/>
          <w:i/>
        </w:rPr>
        <w:t>самостоятельное распоряжение</w:t>
      </w:r>
    </w:p>
    <w:p w:rsidR="00A02ECF" w:rsidRDefault="00A02ECF">
      <w:pPr>
        <w:spacing w:after="0"/>
        <w:jc w:val="both"/>
      </w:pPr>
    </w:p>
    <w:p w:rsidR="00A02ECF" w:rsidRDefault="006104A2">
      <w:pPr>
        <w:spacing w:after="0"/>
        <w:jc w:val="both"/>
        <w:rPr>
          <w:b/>
          <w:i/>
        </w:rPr>
      </w:pPr>
      <w:r>
        <w:t>Основание, в силу которого лицо имеет право распоряжаться голосами, приходящимися на голосующие акции (доли, паи), составляющие уставный (складочный) капитал (паевой фонд) эмитента (</w:t>
      </w:r>
      <w:r>
        <w:rPr>
          <w:i/>
        </w:rPr>
        <w:t>участие (доля участия в уставном (складочном) капитале) в эмитенте, пай, договор доверительного управления имуществом, договор простого товарищества, договор поручения, акционерное соглашение, иное соглашение, предметом которого является осуществление прав, удостоверенных акциями (долями) эмитента</w:t>
      </w:r>
      <w:r>
        <w:t xml:space="preserve">): </w:t>
      </w:r>
      <w:r>
        <w:rPr>
          <w:b/>
          <w:i/>
        </w:rPr>
        <w:t>участие (доля участия в уставном капитале) в эмитенте</w:t>
      </w:r>
    </w:p>
    <w:p w:rsidR="00A02ECF" w:rsidRDefault="00A02ECF">
      <w:pPr>
        <w:spacing w:after="0"/>
      </w:pPr>
    </w:p>
    <w:p w:rsidR="00A02ECF" w:rsidRDefault="006104A2">
      <w:pPr>
        <w:spacing w:after="0"/>
        <w:jc w:val="both"/>
      </w:pPr>
      <w:r>
        <w:t xml:space="preserve">Иные сведения, указываемые эмитентом по собственному усмотрению: </w:t>
      </w:r>
      <w:r>
        <w:rPr>
          <w:b/>
          <w:bCs/>
          <w:i/>
          <w:iCs/>
        </w:rPr>
        <w:t>иных сведений нет.</w:t>
      </w:r>
    </w:p>
    <w:p w:rsidR="00A02ECF" w:rsidRDefault="00A02ECF">
      <w:pPr>
        <w:spacing w:after="0"/>
      </w:pPr>
    </w:p>
    <w:p w:rsidR="00A02ECF" w:rsidRDefault="006104A2">
      <w:pPr>
        <w:tabs>
          <w:tab w:val="left" w:pos="426"/>
        </w:tabs>
        <w:spacing w:after="0"/>
        <w:jc w:val="both"/>
      </w:pPr>
      <w:r>
        <w:t>Размер доли голосов в процентах, приходящихся на голосующие акции (доли, паи), составляющие уставный (складочный) капитал (паевой фонд) эмитента, которой имеет право распоряжаться лицо:</w:t>
      </w:r>
      <w:r>
        <w:rPr>
          <w:b/>
          <w:bCs/>
          <w:i/>
          <w:iCs/>
        </w:rPr>
        <w:t xml:space="preserve"> 0.94%</w:t>
      </w:r>
    </w:p>
    <w:p w:rsidR="00A02ECF" w:rsidRDefault="006104A2">
      <w:pPr>
        <w:tabs>
          <w:tab w:val="left" w:pos="993"/>
        </w:tabs>
        <w:spacing w:after="0"/>
      </w:pPr>
      <w:r>
        <w:t>Вид права распоряжения голосами, приходящимися на голосующие акции (доли, паи), составляющие уставный (складочный) капитал (паевой фонд) эмитента, которым обладает лицо (</w:t>
      </w:r>
      <w:r>
        <w:rPr>
          <w:i/>
        </w:rPr>
        <w:t>прямое распоряжение; косвенное распоряжение</w:t>
      </w:r>
      <w:r>
        <w:t>):</w:t>
      </w:r>
      <w:r>
        <w:rPr>
          <w:b/>
          <w:bCs/>
          <w:i/>
          <w:iCs/>
        </w:rPr>
        <w:t xml:space="preserve"> </w:t>
      </w:r>
      <w:r>
        <w:rPr>
          <w:b/>
          <w:i/>
        </w:rPr>
        <w:t>косвенное распоряжение</w:t>
      </w:r>
    </w:p>
    <w:p w:rsidR="00A02ECF" w:rsidRDefault="00A02ECF">
      <w:pPr>
        <w:spacing w:after="0"/>
      </w:pPr>
    </w:p>
    <w:p w:rsidR="00A02ECF" w:rsidRDefault="006104A2">
      <w:pPr>
        <w:spacing w:after="0"/>
        <w:jc w:val="both"/>
      </w:pPr>
      <w:r>
        <w:t>В случае косвенного распоряжения - последовательно все подконтрольные организации (цепочка организаций, находящихся под прямым или косвенным контролем лица), через которые такое лицо имеет право косвенно распоряжаться голосами, приходящимися на голосующие акции (доли, паи), составляющие уставный (складочный) капитал (паевой фонд) эмитента:</w:t>
      </w:r>
    </w:p>
    <w:p w:rsidR="00A02ECF" w:rsidRDefault="006104A2">
      <w:pPr>
        <w:tabs>
          <w:tab w:val="left" w:pos="1701"/>
        </w:tabs>
        <w:spacing w:after="0"/>
        <w:rPr>
          <w:b/>
          <w:i/>
        </w:rPr>
      </w:pPr>
      <w:r>
        <w:t>Полное фирменное наименование:</w:t>
      </w:r>
      <w:r>
        <w:rPr>
          <w:b/>
          <w:bCs/>
          <w:i/>
          <w:iCs/>
        </w:rPr>
        <w:t xml:space="preserve"> Акционерное общество «</w:t>
      </w:r>
      <w:r>
        <w:rPr>
          <w:b/>
          <w:i/>
        </w:rPr>
        <w:t>Росгазификация</w:t>
      </w:r>
      <w:r>
        <w:rPr>
          <w:b/>
          <w:bCs/>
          <w:i/>
          <w:iCs/>
        </w:rPr>
        <w:t>»</w:t>
      </w:r>
    </w:p>
    <w:p w:rsidR="00A02ECF" w:rsidRDefault="006104A2">
      <w:pPr>
        <w:tabs>
          <w:tab w:val="left" w:pos="1701"/>
        </w:tabs>
        <w:spacing w:after="0"/>
      </w:pPr>
      <w:r>
        <w:t>Сокращенное фирменное наименование:</w:t>
      </w:r>
      <w:r>
        <w:rPr>
          <w:b/>
          <w:bCs/>
          <w:i/>
          <w:iCs/>
        </w:rPr>
        <w:t xml:space="preserve"> АО «</w:t>
      </w:r>
      <w:r>
        <w:rPr>
          <w:b/>
          <w:i/>
        </w:rPr>
        <w:t>Росгазификация</w:t>
      </w:r>
      <w:r>
        <w:rPr>
          <w:b/>
          <w:bCs/>
          <w:i/>
          <w:iCs/>
        </w:rPr>
        <w:t>»</w:t>
      </w:r>
    </w:p>
    <w:p w:rsidR="00A02ECF" w:rsidRDefault="006104A2">
      <w:pPr>
        <w:tabs>
          <w:tab w:val="left" w:pos="1701"/>
        </w:tabs>
        <w:spacing w:after="0"/>
      </w:pPr>
      <w:r>
        <w:t xml:space="preserve">Место нахождения: </w:t>
      </w:r>
      <w:r>
        <w:rPr>
          <w:b/>
          <w:bCs/>
          <w:i/>
          <w:iCs/>
        </w:rPr>
        <w:t>Российская Федерация, г. Москва</w:t>
      </w:r>
    </w:p>
    <w:p w:rsidR="00A02ECF" w:rsidRDefault="006104A2">
      <w:pPr>
        <w:tabs>
          <w:tab w:val="left" w:pos="1701"/>
        </w:tabs>
        <w:spacing w:after="0"/>
      </w:pPr>
      <w:r>
        <w:t>ИНН:</w:t>
      </w:r>
      <w:r>
        <w:rPr>
          <w:b/>
          <w:bCs/>
          <w:i/>
          <w:iCs/>
        </w:rPr>
        <w:t xml:space="preserve"> </w:t>
      </w:r>
      <w:r>
        <w:rPr>
          <w:b/>
          <w:i/>
        </w:rPr>
        <w:t>7719040220</w:t>
      </w:r>
    </w:p>
    <w:p w:rsidR="00A02ECF" w:rsidRDefault="006104A2">
      <w:pPr>
        <w:tabs>
          <w:tab w:val="left" w:pos="1701"/>
        </w:tabs>
        <w:spacing w:after="0"/>
        <w:rPr>
          <w:b/>
          <w:i/>
        </w:rPr>
      </w:pPr>
      <w:r>
        <w:t xml:space="preserve">ОГРН: </w:t>
      </w:r>
      <w:r>
        <w:rPr>
          <w:b/>
          <w:i/>
        </w:rPr>
        <w:t>1027739033410</w:t>
      </w:r>
    </w:p>
    <w:p w:rsidR="00A02ECF" w:rsidRDefault="006104A2">
      <w:pPr>
        <w:spacing w:after="0"/>
        <w:jc w:val="both"/>
      </w:pPr>
      <w:r>
        <w:t>Признак права распоряжения голосами, приходящимися на голосующие акции (доли, паи), составляющие уставный (складочный) капитал (паевой фонд) эмитента, которым обладает лицо (</w:t>
      </w:r>
      <w:r>
        <w:rPr>
          <w:i/>
        </w:rPr>
        <w:t>самостоятельное распоряжение; совместное распоряжение с иными лицами</w:t>
      </w:r>
      <w:r>
        <w:t xml:space="preserve">): </w:t>
      </w:r>
      <w:r>
        <w:rPr>
          <w:b/>
          <w:i/>
        </w:rPr>
        <w:t xml:space="preserve">самостоятельное распоряжение </w:t>
      </w:r>
    </w:p>
    <w:p w:rsidR="00A02ECF" w:rsidRDefault="00A02ECF">
      <w:pPr>
        <w:spacing w:after="0"/>
        <w:jc w:val="both"/>
      </w:pPr>
    </w:p>
    <w:p w:rsidR="00A02ECF" w:rsidRDefault="006104A2">
      <w:pPr>
        <w:spacing w:after="0"/>
        <w:jc w:val="both"/>
        <w:rPr>
          <w:b/>
          <w:i/>
        </w:rPr>
      </w:pPr>
      <w:r>
        <w:t xml:space="preserve">Основание, в силу которого лицо имеет право распоряжаться голосами, приходящимися на голосующие акции (доли, паи), составляющие уставный (складочный) капитал (паевой фонд) эмитента </w:t>
      </w:r>
      <w:r>
        <w:rPr>
          <w:i/>
        </w:rPr>
        <w:t>(участие (доля участия в уставном (складочном) капитале) в эмитенте, пай, договор доверительного управления имуществом, договор простого товарищества, договор поручения, акционерное соглашение, иное соглашение, предметом которого является осуществление прав, удостоверенных акциями (долями) эмитента</w:t>
      </w:r>
      <w:r>
        <w:t xml:space="preserve">): </w:t>
      </w:r>
      <w:r>
        <w:rPr>
          <w:b/>
          <w:i/>
        </w:rPr>
        <w:t>участие (доля участия в уставном капитале) в эмитенте</w:t>
      </w:r>
    </w:p>
    <w:p w:rsidR="00A02ECF" w:rsidRDefault="00A02ECF">
      <w:pPr>
        <w:spacing w:after="0"/>
        <w:jc w:val="both"/>
      </w:pPr>
    </w:p>
    <w:p w:rsidR="00A02ECF" w:rsidRDefault="006104A2">
      <w:pPr>
        <w:spacing w:after="0"/>
        <w:jc w:val="both"/>
        <w:rPr>
          <w:bCs/>
          <w:iCs/>
        </w:rPr>
      </w:pPr>
      <w:r>
        <w:rPr>
          <w:bCs/>
          <w:iCs/>
        </w:rPr>
        <w:t>Дополнительная информация для п. 3.2:</w:t>
      </w:r>
    </w:p>
    <w:p w:rsidR="00A02ECF" w:rsidRDefault="006104A2">
      <w:pPr>
        <w:spacing w:after="0"/>
        <w:jc w:val="both"/>
        <w:rPr>
          <w:b/>
          <w:i/>
        </w:rPr>
      </w:pPr>
      <w:r>
        <w:rPr>
          <w:b/>
          <w:i/>
        </w:rPr>
        <w:t>Доля голосов в процентах, приходящихся на голосующие акции (доли, паи), составляющие уставный (складочный) капитал (паевой фонд) эмитента, которой имеет право распоряжаться лицо, приведена с учетом акций, учитываемых на счете депо депозитарных программ.</w:t>
      </w:r>
    </w:p>
    <w:p w:rsidR="00A02ECF" w:rsidRDefault="00A02ECF">
      <w:pPr>
        <w:spacing w:after="0"/>
        <w:jc w:val="both"/>
        <w:rPr>
          <w:b/>
          <w:i/>
        </w:rPr>
      </w:pPr>
    </w:p>
    <w:p w:rsidR="00A02ECF" w:rsidRDefault="006104A2">
      <w:pPr>
        <w:spacing w:after="0"/>
        <w:jc w:val="both"/>
        <w:rPr>
          <w:b/>
          <w:i/>
        </w:rPr>
      </w:pPr>
      <w:r>
        <w:rPr>
          <w:b/>
          <w:i/>
        </w:rPr>
        <w:t>Изменений в составе информации настоящего пункта в период между отчетной датой и датой раскрытия консолидированной финансовой отчетности не происходило.</w:t>
      </w:r>
    </w:p>
    <w:p w:rsidR="00A02ECF" w:rsidRDefault="00A02ECF">
      <w:pPr>
        <w:spacing w:before="0" w:after="0"/>
      </w:pPr>
    </w:p>
    <w:p w:rsidR="00A02ECF" w:rsidRDefault="00A02ECF">
      <w:pPr>
        <w:spacing w:before="0" w:after="0"/>
      </w:pPr>
    </w:p>
    <w:p w:rsidR="00A02ECF" w:rsidRDefault="006104A2">
      <w:pPr>
        <w:pStyle w:val="2"/>
        <w:jc w:val="both"/>
        <w:rPr>
          <w:bCs w:val="0"/>
          <w:color w:val="000000"/>
          <w:szCs w:val="20"/>
        </w:rPr>
      </w:pPr>
      <w:bookmarkStart w:id="254" w:name="_Toc230104332"/>
      <w:r>
        <w:rPr>
          <w:bCs w:val="0"/>
          <w:color w:val="000000"/>
          <w:szCs w:val="20"/>
        </w:rPr>
        <w:t>3.3. Сведения о доле участия Российской Федерации, субъекта Российской Федерации или муниципального образования в уставном капитале эмитента, наличии специального права («золотой акции»)</w:t>
      </w:r>
      <w:bookmarkEnd w:id="254"/>
    </w:p>
    <w:p w:rsidR="00A02ECF" w:rsidRDefault="006104A2">
      <w:pPr>
        <w:spacing w:after="0"/>
      </w:pPr>
      <w:r>
        <w:t>Сведения об управляющих государственными, муниципальными пакетами акций: у</w:t>
      </w:r>
      <w:r>
        <w:rPr>
          <w:b/>
          <w:bCs/>
          <w:i/>
          <w:iCs/>
        </w:rPr>
        <w:t>казанных лиц нет</w:t>
      </w:r>
    </w:p>
    <w:p w:rsidR="00A02ECF" w:rsidRDefault="00A02ECF">
      <w:pPr>
        <w:spacing w:after="0"/>
        <w:jc w:val="both"/>
      </w:pPr>
    </w:p>
    <w:p w:rsidR="00A02ECF" w:rsidRDefault="006104A2">
      <w:pPr>
        <w:spacing w:after="0"/>
        <w:jc w:val="both"/>
      </w:pPr>
      <w:r>
        <w:t>Лица, которые от имени Российской Федерации, субъекта Российской Федерации или муниципального образования осуществляют функции участника (акционера) эмитента:</w:t>
      </w:r>
    </w:p>
    <w:p w:rsidR="00A02ECF" w:rsidRDefault="00A02ECF">
      <w:pPr>
        <w:spacing w:after="0"/>
        <w:rPr>
          <w:b/>
          <w:bCs/>
          <w:i/>
          <w:iCs/>
        </w:rPr>
      </w:pPr>
    </w:p>
    <w:p w:rsidR="00A02ECF" w:rsidRDefault="006104A2">
      <w:pPr>
        <w:spacing w:after="0"/>
      </w:pPr>
      <w:r>
        <w:rPr>
          <w:b/>
          <w:bCs/>
          <w:i/>
          <w:iCs/>
        </w:rPr>
        <w:t>Федеральная собственность</w:t>
      </w:r>
    </w:p>
    <w:p w:rsidR="00A02ECF" w:rsidRDefault="006104A2">
      <w:pPr>
        <w:spacing w:after="0"/>
        <w:jc w:val="both"/>
      </w:pPr>
      <w:r>
        <w:t>Полное фирменное наименование:</w:t>
      </w:r>
      <w:r>
        <w:rPr>
          <w:b/>
          <w:bCs/>
          <w:i/>
          <w:iCs/>
        </w:rPr>
        <w:t xml:space="preserve"> Федеральное агентство по управлению государственным имуществом</w:t>
      </w:r>
    </w:p>
    <w:p w:rsidR="00A02ECF" w:rsidRDefault="006104A2">
      <w:pPr>
        <w:spacing w:after="0"/>
      </w:pPr>
      <w:r>
        <w:lastRenderedPageBreak/>
        <w:t>Сокращенное фирменное наименование:</w:t>
      </w:r>
      <w:r>
        <w:rPr>
          <w:b/>
          <w:bCs/>
          <w:i/>
          <w:iCs/>
        </w:rPr>
        <w:t xml:space="preserve"> Росимущество</w:t>
      </w:r>
    </w:p>
    <w:p w:rsidR="00A02ECF" w:rsidRDefault="006104A2">
      <w:pPr>
        <w:spacing w:after="0"/>
        <w:jc w:val="both"/>
      </w:pPr>
      <w:r>
        <w:t>Размер доли уставного капитала эмитента, находящейся в государственной собственности (федеральной, субъектов Российской Федерации), муниципальной собственности:</w:t>
      </w:r>
      <w:r>
        <w:rPr>
          <w:b/>
          <w:bCs/>
          <w:i/>
          <w:iCs/>
        </w:rPr>
        <w:t xml:space="preserve"> 38.37345426%</w:t>
      </w:r>
    </w:p>
    <w:p w:rsidR="00A02ECF" w:rsidRDefault="00A02ECF">
      <w:pPr>
        <w:spacing w:after="0"/>
        <w:rPr>
          <w:b/>
          <w:bCs/>
          <w:i/>
          <w:iCs/>
        </w:rPr>
      </w:pPr>
    </w:p>
    <w:p w:rsidR="00A02ECF" w:rsidRDefault="006104A2">
      <w:pPr>
        <w:spacing w:after="0"/>
      </w:pPr>
      <w:r>
        <w:rPr>
          <w:b/>
          <w:bCs/>
          <w:i/>
          <w:iCs/>
        </w:rPr>
        <w:t>Муниципальная собственность</w:t>
      </w:r>
    </w:p>
    <w:p w:rsidR="00A02ECF" w:rsidRDefault="006104A2">
      <w:pPr>
        <w:spacing w:after="0"/>
        <w:jc w:val="both"/>
      </w:pPr>
      <w:r>
        <w:t>Полное фирменное наименование:</w:t>
      </w:r>
      <w:r>
        <w:rPr>
          <w:b/>
          <w:bCs/>
          <w:i/>
          <w:iCs/>
        </w:rPr>
        <w:t xml:space="preserve"> Департамент управления муниципальным имуществом и жилищной политики администрации Сургутского района</w:t>
      </w:r>
    </w:p>
    <w:p w:rsidR="00A02ECF" w:rsidRDefault="006104A2">
      <w:pPr>
        <w:spacing w:after="0"/>
      </w:pPr>
      <w:r>
        <w:t>Сокращенное фирменное наименование:</w:t>
      </w:r>
      <w:r>
        <w:rPr>
          <w:b/>
          <w:bCs/>
          <w:i/>
          <w:iCs/>
        </w:rPr>
        <w:t xml:space="preserve"> Депимущества АСР</w:t>
      </w:r>
    </w:p>
    <w:p w:rsidR="00A02ECF" w:rsidRDefault="006104A2">
      <w:pPr>
        <w:spacing w:after="0"/>
      </w:pPr>
      <w:r>
        <w:t>Размер доли уставного капитала эмитента, находящейся в государственной собственности (федеральной, субъектов Российской Федерации), муниципальной собственности:</w:t>
      </w:r>
      <w:r>
        <w:rPr>
          <w:b/>
          <w:bCs/>
          <w:i/>
          <w:iCs/>
        </w:rPr>
        <w:t xml:space="preserve"> 0.00546602%</w:t>
      </w:r>
    </w:p>
    <w:p w:rsidR="00A02ECF" w:rsidRDefault="00A02ECF">
      <w:pPr>
        <w:spacing w:after="0"/>
      </w:pPr>
    </w:p>
    <w:p w:rsidR="00A02ECF" w:rsidRDefault="006104A2">
      <w:pPr>
        <w:spacing w:after="0"/>
        <w:jc w:val="both"/>
        <w:rPr>
          <w:b/>
          <w:i/>
        </w:rPr>
      </w:pPr>
      <w:r>
        <w:t xml:space="preserve">Наличие специального права на участие Российской Федерации, субъектов Российской Федерации, муниципальных образований в управлении эмитентом - акционерным обществом («золотой акции»), срок действия специального права («золотой акции»): </w:t>
      </w:r>
      <w:r>
        <w:rPr>
          <w:b/>
          <w:bCs/>
          <w:i/>
          <w:iCs/>
        </w:rPr>
        <w:t>Указанное право не предусмотрено.</w:t>
      </w:r>
    </w:p>
    <w:p w:rsidR="00A02ECF" w:rsidRDefault="00A02ECF">
      <w:pPr>
        <w:spacing w:before="0" w:after="0"/>
      </w:pPr>
    </w:p>
    <w:p w:rsidR="00A02ECF" w:rsidRDefault="006104A2">
      <w:pPr>
        <w:spacing w:before="120"/>
      </w:pPr>
      <w:r>
        <w:rPr>
          <w:u w:val="single"/>
        </w:rPr>
        <w:t>Дополнительная информация для п.3.3.</w:t>
      </w:r>
    </w:p>
    <w:p w:rsidR="00A02ECF" w:rsidRDefault="006104A2">
      <w:pPr>
        <w:spacing w:before="120"/>
        <w:jc w:val="both"/>
        <w:rPr>
          <w:b/>
          <w:bCs/>
          <w:i/>
          <w:iCs/>
        </w:rPr>
      </w:pPr>
      <w:r>
        <w:rPr>
          <w:b/>
          <w:bCs/>
          <w:i/>
          <w:iCs/>
        </w:rPr>
        <w:t xml:space="preserve">Номинальные держатели представляют информацию о своих клиентах в строгом соответствии с действующим законодательством Российской Федерации, т.е. при составлении списков лиц, имеющих право на участие в собрании акционеров. В связи с этим получение Эмитентом сведений об акционерах из учетных систем номинальных держателей и полное обновление информации, требуемой к раскрытию в пункте 3.3. Отчета эмитента, по состоянию на 31.12.2025 и на 30.04.2026 не представляется возможным. </w:t>
      </w:r>
    </w:p>
    <w:p w:rsidR="00A02ECF" w:rsidRDefault="006104A2">
      <w:pPr>
        <w:spacing w:before="120"/>
        <w:jc w:val="both"/>
        <w:rPr>
          <w:b/>
          <w:bCs/>
          <w:i/>
          <w:iCs/>
        </w:rPr>
      </w:pPr>
      <w:r>
        <w:rPr>
          <w:b/>
          <w:bCs/>
          <w:i/>
          <w:iCs/>
        </w:rPr>
        <w:t>В настоящем Отчете эмитента доли уставного капитала ПАО</w:t>
      </w:r>
      <w:r>
        <w:rPr>
          <w:b/>
          <w:bCs/>
          <w:i/>
          <w:iCs/>
          <w:lang w:val="en-US"/>
        </w:rPr>
        <w:t> </w:t>
      </w:r>
      <w:r>
        <w:rPr>
          <w:b/>
          <w:bCs/>
          <w:i/>
          <w:iCs/>
        </w:rPr>
        <w:t>«Газпром», находящиеся в государственной собственности (федеральной, субъектов Российской Федерации) или муниципальной собственности, представлены в объеме учетной системы регистратора АО «ДРАГА».</w:t>
      </w:r>
    </w:p>
    <w:p w:rsidR="00A02ECF" w:rsidRDefault="00A02ECF">
      <w:pPr>
        <w:spacing w:before="0" w:after="0"/>
      </w:pPr>
    </w:p>
    <w:p w:rsidR="00A02ECF" w:rsidRDefault="006104A2">
      <w:pPr>
        <w:spacing w:before="120"/>
        <w:jc w:val="both"/>
      </w:pPr>
      <w:r>
        <w:t>Информация об изменениях в составе сведений настоящего пункта отчёта эмитента, которые произошли между отчетной датой и датой раскрытия отчётности, на основе которой в отчёте эмитента раскрывается информация о финансово-хозяйственной деятельности эмитента, которая известна или должна быть известна эмитенту на дату раскрытия соответствующей отчетности:</w:t>
      </w:r>
    </w:p>
    <w:p w:rsidR="00A02ECF" w:rsidRDefault="006104A2">
      <w:pPr>
        <w:pStyle w:val="a3"/>
        <w:numPr>
          <w:ilvl w:val="0"/>
          <w:numId w:val="38"/>
        </w:numPr>
        <w:shd w:val="clear" w:color="auto" w:fill="FFFFFF"/>
        <w:spacing w:before="160" w:after="0"/>
        <w:ind w:left="284"/>
        <w:jc w:val="both"/>
      </w:pPr>
      <w:r>
        <w:t>Изменился размер доли уставного капитала эмитента, находящейся в федеральной собственности.</w:t>
      </w:r>
    </w:p>
    <w:p w:rsidR="00A02ECF" w:rsidRDefault="006104A2">
      <w:pPr>
        <w:spacing w:before="120" w:after="0"/>
        <w:ind w:left="284"/>
        <w:jc w:val="both"/>
      </w:pPr>
      <w:r>
        <w:rPr>
          <w:b/>
          <w:bCs/>
          <w:i/>
          <w:iCs/>
        </w:rPr>
        <w:t>По состоянию на 30.04.2026</w:t>
      </w:r>
    </w:p>
    <w:p w:rsidR="00A02ECF" w:rsidRDefault="006104A2">
      <w:pPr>
        <w:spacing w:after="0"/>
        <w:ind w:left="284"/>
      </w:pPr>
      <w:r>
        <w:t>Категория акций:</w:t>
      </w:r>
      <w:r>
        <w:rPr>
          <w:b/>
          <w:bCs/>
          <w:i/>
          <w:iCs/>
        </w:rPr>
        <w:t xml:space="preserve"> акции обыкновенные именные бездокументарные</w:t>
      </w:r>
    </w:p>
    <w:p w:rsidR="00A02ECF" w:rsidRDefault="006104A2">
      <w:pPr>
        <w:spacing w:after="0"/>
        <w:ind w:left="284"/>
        <w:jc w:val="both"/>
      </w:pPr>
      <w:r>
        <w:t>Размер доли уставного капитала эмитента, находящейся в государственной собственности (федеральной, субъектов Российской Федерации), муниципальной собственности:</w:t>
      </w:r>
      <w:r>
        <w:rPr>
          <w:b/>
          <w:bCs/>
          <w:i/>
          <w:iCs/>
        </w:rPr>
        <w:t xml:space="preserve"> 38.37345679%</w:t>
      </w:r>
    </w:p>
    <w:p w:rsidR="00A02ECF" w:rsidRDefault="006104A2">
      <w:pPr>
        <w:pStyle w:val="2"/>
        <w:rPr>
          <w:bCs w:val="0"/>
          <w:color w:val="000000"/>
          <w:szCs w:val="20"/>
        </w:rPr>
      </w:pPr>
      <w:bookmarkStart w:id="255" w:name="_Toc230104333"/>
      <w:r>
        <w:rPr>
          <w:bCs w:val="0"/>
          <w:color w:val="000000"/>
          <w:szCs w:val="20"/>
        </w:rPr>
        <w:t>3.4. Сделки эмитента, в совершении которых имелась заинтересованность</w:t>
      </w:r>
      <w:bookmarkEnd w:id="255"/>
    </w:p>
    <w:p w:rsidR="00A02ECF" w:rsidRDefault="006104A2">
      <w:pPr>
        <w:jc w:val="both"/>
        <w:rPr>
          <w:b/>
          <w:i/>
        </w:rPr>
      </w:pPr>
      <w:r>
        <w:rPr>
          <w:b/>
          <w:i/>
        </w:rPr>
        <w:t>Информация о сделках эмитента, в совершении которых имелась заинтересованность, приводится в Приложении №1.</w:t>
      </w:r>
    </w:p>
    <w:p w:rsidR="00A02ECF" w:rsidRDefault="006104A2">
      <w:pPr>
        <w:pStyle w:val="2"/>
        <w:rPr>
          <w:bCs w:val="0"/>
          <w:color w:val="000000"/>
          <w:szCs w:val="20"/>
        </w:rPr>
      </w:pPr>
      <w:bookmarkStart w:id="256" w:name="_Toc230104334"/>
      <w:r>
        <w:rPr>
          <w:bCs w:val="0"/>
          <w:color w:val="000000"/>
          <w:szCs w:val="20"/>
        </w:rPr>
        <w:t>3.5. Крупные сделки эмитента</w:t>
      </w:r>
      <w:bookmarkEnd w:id="256"/>
      <w:r>
        <w:rPr>
          <w:bCs w:val="0"/>
          <w:color w:val="000000"/>
          <w:szCs w:val="20"/>
        </w:rPr>
        <w:t xml:space="preserve"> </w:t>
      </w:r>
    </w:p>
    <w:p w:rsidR="00A02ECF" w:rsidRDefault="00A02ECF">
      <w:pPr>
        <w:jc w:val="both"/>
        <w:rPr>
          <w:b/>
          <w:i/>
        </w:rPr>
      </w:pPr>
    </w:p>
    <w:p w:rsidR="00A02ECF" w:rsidRDefault="006104A2">
      <w:pPr>
        <w:jc w:val="both"/>
        <w:rPr>
          <w:b/>
          <w:i/>
        </w:rPr>
      </w:pPr>
      <w:r>
        <w:rPr>
          <w:b/>
          <w:i/>
        </w:rPr>
        <w:t>В 2025 году ПАО «Газпром» не совершало сделок, признаваемых в соответствии с действующим законодательством Российской Федерации крупными сделками.</w:t>
      </w:r>
    </w:p>
    <w:p w:rsidR="00A02ECF" w:rsidRDefault="006104A2">
      <w:pPr>
        <w:pStyle w:val="1"/>
        <w:jc w:val="both"/>
        <w:rPr>
          <w:sz w:val="22"/>
          <w:szCs w:val="20"/>
        </w:rPr>
      </w:pPr>
      <w:r>
        <w:br w:type="page" w:clear="all"/>
      </w:r>
      <w:bookmarkStart w:id="257" w:name="_Toc230104335"/>
      <w:r>
        <w:rPr>
          <w:szCs w:val="20"/>
        </w:rPr>
        <w:lastRenderedPageBreak/>
        <w:t>Раздел</w:t>
      </w:r>
      <w:r>
        <w:t xml:space="preserve"> 4. Дополнительные сведения об эмитенте и о размещенных им ценных бумагах</w:t>
      </w:r>
      <w:bookmarkEnd w:id="257"/>
    </w:p>
    <w:p w:rsidR="00A02ECF" w:rsidRDefault="006104A2">
      <w:pPr>
        <w:pStyle w:val="2"/>
        <w:rPr>
          <w:bCs w:val="0"/>
          <w:szCs w:val="20"/>
        </w:rPr>
      </w:pPr>
      <w:bookmarkStart w:id="258" w:name="_Toc230104336"/>
      <w:r>
        <w:rPr>
          <w:bCs w:val="0"/>
          <w:szCs w:val="20"/>
        </w:rPr>
        <w:t>4.1. Подконтрольные эмитенту организации, имеющие для него существенное значение</w:t>
      </w:r>
      <w:bookmarkEnd w:id="258"/>
    </w:p>
    <w:p w:rsidR="00A02ECF" w:rsidRDefault="00A02ECF"/>
    <w:p w:rsidR="002709BD" w:rsidRDefault="002709BD" w:rsidP="002709BD">
      <w:pPr>
        <w:jc w:val="both"/>
      </w:pPr>
      <w:r>
        <w:rPr>
          <w:b/>
          <w:bCs/>
        </w:rPr>
        <w:t>Информация не раскрывается на основании пункта 6 статьи 30.1 Федерального закона «О рынке ценных бумаг».</w:t>
      </w:r>
    </w:p>
    <w:p w:rsidR="002709BD" w:rsidRDefault="002709BD" w:rsidP="002709BD">
      <w:pPr>
        <w:rPr>
          <w:color w:val="000000"/>
        </w:rPr>
      </w:pPr>
    </w:p>
    <w:p w:rsidR="00A02ECF" w:rsidRDefault="006104A2">
      <w:pPr>
        <w:pStyle w:val="2"/>
        <w:jc w:val="both"/>
        <w:rPr>
          <w:bCs w:val="0"/>
          <w:color w:val="000000"/>
          <w:szCs w:val="20"/>
        </w:rPr>
      </w:pPr>
      <w:bookmarkStart w:id="259" w:name="_Toc230104337"/>
      <w:r>
        <w:rPr>
          <w:bCs w:val="0"/>
          <w:color w:val="000000"/>
          <w:szCs w:val="20"/>
        </w:rPr>
        <w:t>4.2. Дополнительные сведения, раскрываемые эмитентами зеленых облигаций, социальных облигаций, облигаций устойчивого развития, адаптационных облигаций</w:t>
      </w:r>
      <w:bookmarkEnd w:id="259"/>
    </w:p>
    <w:p w:rsidR="00A02ECF" w:rsidRDefault="006104A2">
      <w:pPr>
        <w:spacing w:before="120" w:after="0"/>
        <w:jc w:val="both"/>
        <w:rPr>
          <w:b/>
          <w:i/>
        </w:rPr>
      </w:pPr>
      <w:r>
        <w:rPr>
          <w:b/>
          <w:bCs/>
          <w:i/>
        </w:rPr>
        <w:t xml:space="preserve">У эмитента отсутствуют в обращении облигации, </w:t>
      </w:r>
      <w:r>
        <w:rPr>
          <w:b/>
          <w:bCs/>
          <w:i/>
          <w:iCs/>
        </w:rPr>
        <w:t>которые бы идентифицировались эмитентом как «зеленые облигации», «социальные облигации», «облигации устойчивого развития», «адаптационные облигации».</w:t>
      </w:r>
    </w:p>
    <w:p w:rsidR="00A02ECF" w:rsidRDefault="006104A2">
      <w:pPr>
        <w:pStyle w:val="2"/>
        <w:jc w:val="both"/>
        <w:rPr>
          <w:bCs w:val="0"/>
          <w:color w:val="000000"/>
          <w:szCs w:val="20"/>
        </w:rPr>
      </w:pPr>
      <w:bookmarkStart w:id="260" w:name="_Toc230104338"/>
      <w:r>
        <w:rPr>
          <w:bCs w:val="0"/>
          <w:color w:val="000000"/>
          <w:szCs w:val="20"/>
        </w:rPr>
        <w:t>4.2(1). Дополнительные сведения, раскрываемые эмитентами инфраструктурных облигаций</w:t>
      </w:r>
      <w:bookmarkEnd w:id="260"/>
    </w:p>
    <w:p w:rsidR="00A02ECF" w:rsidRDefault="006104A2">
      <w:pPr>
        <w:spacing w:before="120" w:after="0"/>
        <w:jc w:val="both"/>
        <w:rPr>
          <w:b/>
          <w:bCs/>
          <w:i/>
          <w:iCs/>
        </w:rPr>
      </w:pPr>
      <w:r>
        <w:rPr>
          <w:b/>
          <w:bCs/>
          <w:i/>
          <w:iCs/>
        </w:rPr>
        <w:t>Информация в настоящем пункте не приводится в связи с тем, что Эмитент не осуществлял выпуск инфраструктурных облигаций.</w:t>
      </w:r>
    </w:p>
    <w:p w:rsidR="00A02ECF" w:rsidRDefault="006104A2">
      <w:pPr>
        <w:pStyle w:val="2"/>
        <w:jc w:val="both"/>
        <w:rPr>
          <w:bCs w:val="0"/>
          <w:color w:val="000000"/>
          <w:szCs w:val="20"/>
        </w:rPr>
      </w:pPr>
      <w:bookmarkStart w:id="261" w:name="_Toc230104339"/>
      <w:r>
        <w:rPr>
          <w:bCs w:val="0"/>
          <w:color w:val="000000"/>
          <w:szCs w:val="20"/>
        </w:rPr>
        <w:t>4.2(2). Дополнительные сведения, раскрываемые эмитентами облигаций, связанных с целями устойчивого развития</w:t>
      </w:r>
      <w:bookmarkEnd w:id="261"/>
    </w:p>
    <w:p w:rsidR="00A02ECF" w:rsidRDefault="006104A2">
      <w:pPr>
        <w:spacing w:before="120" w:after="0"/>
        <w:jc w:val="both"/>
      </w:pPr>
      <w:r>
        <w:rPr>
          <w:b/>
          <w:bCs/>
          <w:i/>
          <w:iCs/>
        </w:rPr>
        <w:t xml:space="preserve">Информация в настоящем пункте не приводится в связи с тем, что Эмитент не осуществлял выпуск облигаций, связанных с целями устойчивого развития. </w:t>
      </w:r>
    </w:p>
    <w:p w:rsidR="00A02ECF" w:rsidRDefault="006104A2">
      <w:pPr>
        <w:pStyle w:val="2"/>
        <w:jc w:val="both"/>
        <w:rPr>
          <w:bCs w:val="0"/>
          <w:color w:val="000000"/>
          <w:szCs w:val="20"/>
        </w:rPr>
      </w:pPr>
      <w:bookmarkStart w:id="262" w:name="_Toc230104340"/>
      <w:r>
        <w:rPr>
          <w:bCs w:val="0"/>
          <w:color w:val="000000"/>
          <w:szCs w:val="20"/>
        </w:rPr>
        <w:t>4.2(3). Дополнительные сведения, раскрываемые эмитентами облигаций климатического перехода</w:t>
      </w:r>
      <w:bookmarkEnd w:id="262"/>
    </w:p>
    <w:p w:rsidR="00A02ECF" w:rsidRDefault="006104A2">
      <w:pPr>
        <w:spacing w:before="120"/>
        <w:jc w:val="both"/>
        <w:rPr>
          <w:b/>
          <w:bCs/>
          <w:i/>
          <w:iCs/>
        </w:rPr>
      </w:pPr>
      <w:r>
        <w:rPr>
          <w:b/>
          <w:bCs/>
          <w:i/>
          <w:iCs/>
        </w:rPr>
        <w:t>Информация в настоящем пункте не приводится в связи с тем, что Эмитент не осуществлял выпуск облигаций климатического перехода.</w:t>
      </w:r>
    </w:p>
    <w:p w:rsidR="00A02ECF" w:rsidRDefault="006104A2">
      <w:pPr>
        <w:pStyle w:val="2"/>
        <w:jc w:val="both"/>
        <w:rPr>
          <w:bCs w:val="0"/>
          <w:color w:val="000000"/>
          <w:szCs w:val="20"/>
        </w:rPr>
      </w:pPr>
      <w:bookmarkStart w:id="263" w:name="_Toc230104341"/>
      <w:r>
        <w:rPr>
          <w:bCs w:val="0"/>
          <w:color w:val="000000"/>
          <w:szCs w:val="20"/>
        </w:rPr>
        <w:t>4.3. Сведения о лице (лицах), предоставившем (предоставивших) обеспечение по облигациям эмитента с обеспечением, а также об обеспечении, предоставленном по облигациям эмитента с обеспечением</w:t>
      </w:r>
      <w:bookmarkEnd w:id="263"/>
    </w:p>
    <w:p w:rsidR="00A02ECF" w:rsidRDefault="006104A2">
      <w:pPr>
        <w:jc w:val="both"/>
        <w:rPr>
          <w:b/>
          <w:bCs/>
          <w:i/>
          <w:iCs/>
        </w:rPr>
      </w:pPr>
      <w:r>
        <w:rPr>
          <w:b/>
          <w:bCs/>
          <w:i/>
          <w:iCs/>
        </w:rPr>
        <w:t>В обращении нет облигаций Эмитента, в отношении которых зарегистрирован проспект и (или) размещенных путем открытой подписки, в отношении которых предоставлено обеспечение.</w:t>
      </w:r>
    </w:p>
    <w:p w:rsidR="00A02ECF" w:rsidRDefault="00A02ECF">
      <w:pPr>
        <w:jc w:val="both"/>
        <w:rPr>
          <w:b/>
          <w:i/>
        </w:rPr>
      </w:pPr>
    </w:p>
    <w:p w:rsidR="00A02ECF" w:rsidRDefault="006104A2">
      <w:pPr>
        <w:jc w:val="both"/>
      </w:pPr>
      <w:r>
        <w:rPr>
          <w:b/>
          <w:i/>
        </w:rPr>
        <w:t>Изменений в составе информации настоящего пункта в период между отчетной датой и датой раскрытия консолидированной финансовой отчетности не происходило.</w:t>
      </w:r>
      <w:r>
        <w:t xml:space="preserve"> </w:t>
      </w:r>
    </w:p>
    <w:p w:rsidR="00A02ECF" w:rsidRDefault="006104A2">
      <w:pPr>
        <w:pStyle w:val="2"/>
        <w:jc w:val="both"/>
        <w:rPr>
          <w:bCs w:val="0"/>
          <w:color w:val="000000"/>
          <w:szCs w:val="20"/>
        </w:rPr>
      </w:pPr>
      <w:bookmarkStart w:id="264" w:name="_Toc230104342"/>
      <w:r>
        <w:rPr>
          <w:bCs w:val="0"/>
          <w:color w:val="000000"/>
          <w:szCs w:val="20"/>
        </w:rPr>
        <w:t>4.3.1. Дополнительные сведения об ипотечном покрытии по облигациям эмитента с ипотечным покрытием</w:t>
      </w:r>
      <w:bookmarkEnd w:id="264"/>
    </w:p>
    <w:p w:rsidR="00A02ECF" w:rsidRDefault="006104A2">
      <w:pPr>
        <w:jc w:val="both"/>
      </w:pPr>
      <w:r>
        <w:rPr>
          <w:b/>
          <w:bCs/>
          <w:i/>
          <w:iCs/>
        </w:rPr>
        <w:t>Информация в настоящем пункте не приводится в связи с тем, что Эмитент не выпускал облигации с ипотечным покрытием.</w:t>
      </w:r>
    </w:p>
    <w:p w:rsidR="00A02ECF" w:rsidRDefault="00A02ECF"/>
    <w:p w:rsidR="00A02ECF" w:rsidRDefault="006104A2">
      <w:pPr>
        <w:jc w:val="both"/>
      </w:pPr>
      <w:r>
        <w:rPr>
          <w:b/>
          <w:i/>
        </w:rPr>
        <w:t>Изменений в составе информации настоящего пункта в период между отчетной датой и датой раскрытия консолидированной финансовой отчетности не происходило.</w:t>
      </w:r>
      <w:r>
        <w:t xml:space="preserve"> </w:t>
      </w:r>
    </w:p>
    <w:p w:rsidR="00A02ECF" w:rsidRDefault="006104A2">
      <w:pPr>
        <w:pStyle w:val="2"/>
        <w:jc w:val="both"/>
        <w:rPr>
          <w:bCs w:val="0"/>
          <w:color w:val="000000"/>
          <w:szCs w:val="20"/>
        </w:rPr>
      </w:pPr>
      <w:bookmarkStart w:id="265" w:name="_Toc230104343"/>
      <w:r>
        <w:rPr>
          <w:bCs w:val="0"/>
          <w:color w:val="000000"/>
          <w:szCs w:val="20"/>
        </w:rPr>
        <w:t>4.3.2. Дополнительные сведения о залоговом обеспечении денежными требованиями по облигациям эмитента с залоговым обеспечением денежными требованиями</w:t>
      </w:r>
      <w:bookmarkEnd w:id="265"/>
    </w:p>
    <w:p w:rsidR="00A02ECF" w:rsidRDefault="006104A2">
      <w:pPr>
        <w:jc w:val="both"/>
      </w:pPr>
      <w:r>
        <w:rPr>
          <w:b/>
          <w:bCs/>
          <w:i/>
          <w:iCs/>
        </w:rPr>
        <w:t>Информация в настоящем пункте не приводится в связи с тем, что Эмитент не выпускал облигации с залоговым обеспечением денежными требованиями.</w:t>
      </w:r>
    </w:p>
    <w:p w:rsidR="00A02ECF" w:rsidRDefault="00A02ECF">
      <w:pPr>
        <w:jc w:val="both"/>
        <w:rPr>
          <w:b/>
          <w:i/>
        </w:rPr>
      </w:pPr>
    </w:p>
    <w:p w:rsidR="00A02ECF" w:rsidRDefault="006104A2">
      <w:pPr>
        <w:jc w:val="both"/>
      </w:pPr>
      <w:r>
        <w:rPr>
          <w:b/>
          <w:i/>
        </w:rPr>
        <w:t>Изменений в составе информации настоящего пункта в период между отчетной датой и датой раскрытия консолидированной финансовой отчетности не происходило.</w:t>
      </w:r>
      <w:r>
        <w:t xml:space="preserve"> </w:t>
      </w:r>
    </w:p>
    <w:p w:rsidR="00A02ECF" w:rsidRDefault="006104A2">
      <w:pPr>
        <w:pStyle w:val="2"/>
        <w:rPr>
          <w:bCs w:val="0"/>
          <w:color w:val="000000"/>
          <w:szCs w:val="20"/>
        </w:rPr>
      </w:pPr>
      <w:bookmarkStart w:id="266" w:name="_Toc230104344"/>
      <w:r>
        <w:rPr>
          <w:bCs w:val="0"/>
          <w:color w:val="000000"/>
          <w:szCs w:val="20"/>
        </w:rPr>
        <w:t>4.4. Сведения об объявленных и выплаченных дивидендах по акциям эмитента</w:t>
      </w:r>
      <w:bookmarkEnd w:id="266"/>
    </w:p>
    <w:p w:rsidR="00A02ECF" w:rsidRDefault="006104A2">
      <w:pPr>
        <w:jc w:val="both"/>
      </w:pPr>
      <w:r>
        <w:lastRenderedPageBreak/>
        <w:t>Информация в отношении дивидендов, решение о выплате (объявлении) которых принято в течение трех последних завершенных отчетных лет либо в течение всего срока с даты государственной регистрации эмитента, если эмитент осуществляет свою деятельность менее трех лет:</w:t>
      </w:r>
    </w:p>
    <w:p w:rsidR="00A02ECF" w:rsidRDefault="00A02ECF">
      <w:pPr>
        <w:pStyle w:val="ThinDelim"/>
        <w:rPr>
          <w:sz w:val="20"/>
          <w:szCs w:val="20"/>
        </w:rPr>
      </w:pPr>
    </w:p>
    <w:p w:rsidR="00A02ECF" w:rsidRDefault="006104A2">
      <w:pPr>
        <w:jc w:val="both"/>
        <w:rPr>
          <w:b/>
          <w:bCs/>
          <w:i/>
          <w:iCs/>
        </w:rPr>
      </w:pPr>
      <w:r>
        <w:rPr>
          <w:b/>
          <w:bCs/>
          <w:i/>
          <w:iCs/>
        </w:rPr>
        <w:t>В течение трех последних завершенных отчетных лет (2023, 2024 и 2025 годы) решение о выплате (объявлении) дивидендов эмитентом не принималось.</w:t>
      </w:r>
    </w:p>
    <w:p w:rsidR="00A02ECF" w:rsidRDefault="00A02ECF"/>
    <w:p w:rsidR="00A02ECF" w:rsidRDefault="006104A2">
      <w:pPr>
        <w:spacing w:before="60"/>
        <w:jc w:val="both"/>
        <w:rPr>
          <w:b/>
          <w:i/>
        </w:rPr>
      </w:pPr>
      <w:r>
        <w:rPr>
          <w:b/>
          <w:i/>
        </w:rPr>
        <w:t>Изменений в составе информации настоящего пункта в период между отчетной датой и датой раскрытия консолидированной финансовой отчетности не происходило.</w:t>
      </w:r>
    </w:p>
    <w:p w:rsidR="00A02ECF" w:rsidRDefault="00A02ECF"/>
    <w:p w:rsidR="00A02ECF" w:rsidRDefault="006104A2">
      <w:pPr>
        <w:pStyle w:val="2"/>
        <w:rPr>
          <w:bCs w:val="0"/>
          <w:color w:val="000000"/>
          <w:szCs w:val="20"/>
        </w:rPr>
      </w:pPr>
      <w:bookmarkStart w:id="267" w:name="_Toc230104345"/>
      <w:r>
        <w:rPr>
          <w:bCs w:val="0"/>
          <w:color w:val="000000"/>
          <w:szCs w:val="20"/>
        </w:rPr>
        <w:t>4.5. Сведения об организациях, осуществляющих учет прав на эмиссионные ценные бумаги эмитента</w:t>
      </w:r>
      <w:bookmarkEnd w:id="267"/>
    </w:p>
    <w:p w:rsidR="00A02ECF" w:rsidRDefault="006104A2">
      <w:pPr>
        <w:pStyle w:val="2"/>
        <w:rPr>
          <w:bCs w:val="0"/>
          <w:color w:val="000000"/>
          <w:szCs w:val="20"/>
        </w:rPr>
      </w:pPr>
      <w:bookmarkStart w:id="268" w:name="_Toc230104346"/>
      <w:r>
        <w:rPr>
          <w:bCs w:val="0"/>
          <w:color w:val="000000"/>
          <w:szCs w:val="20"/>
        </w:rPr>
        <w:t>4.5.1. Сведения о регистраторе, осуществляющем ведение реестра владельцев ценных бумаг эмитента</w:t>
      </w:r>
      <w:bookmarkEnd w:id="268"/>
    </w:p>
    <w:p w:rsidR="00A02ECF" w:rsidRDefault="006104A2">
      <w:pPr>
        <w:jc w:val="both"/>
        <w:rPr>
          <w:b/>
          <w:i/>
        </w:rPr>
      </w:pPr>
      <w:r>
        <w:rPr>
          <w:b/>
          <w:i/>
        </w:rPr>
        <w:t>Сведения об организации, осуществляющей учет прав на эмиссионные ценные бумаги эмитента, были раскрыты эмитентом ранее.</w:t>
      </w:r>
    </w:p>
    <w:p w:rsidR="00A02ECF" w:rsidRDefault="006104A2">
      <w:pPr>
        <w:jc w:val="both"/>
      </w:pPr>
      <w:r>
        <w:t xml:space="preserve">Адрес страницы в сети «Интернет», на которой раскрыта информация, опубликованная эмитентом на странице в сети «Интернет» в соответствии с главой 62 Положения о раскрытии информации: </w:t>
      </w:r>
    </w:p>
    <w:p w:rsidR="00A02ECF" w:rsidRDefault="006104A2">
      <w:pPr>
        <w:jc w:val="both"/>
        <w:rPr>
          <w:b/>
          <w:i/>
        </w:rPr>
      </w:pPr>
      <w:r>
        <w:rPr>
          <w:b/>
          <w:i/>
        </w:rPr>
        <w:t>https://www.e-disclosure.ru/portal/files.aspx?id=934&amp;type=10&amp;attempt=1</w:t>
      </w:r>
    </w:p>
    <w:p w:rsidR="00A02ECF" w:rsidRDefault="00A02ECF"/>
    <w:p w:rsidR="00A02ECF" w:rsidRDefault="006104A2">
      <w:pPr>
        <w:jc w:val="both"/>
      </w:pPr>
      <w:r>
        <w:rPr>
          <w:b/>
          <w:i/>
        </w:rPr>
        <w:t>Изменений в составе информации настоящего пункта в период между отчетной датой и датой раскрытия консолидированной финансовой отчетности не происходило.</w:t>
      </w:r>
      <w:r>
        <w:t xml:space="preserve"> </w:t>
      </w:r>
    </w:p>
    <w:p w:rsidR="00A02ECF" w:rsidRDefault="006104A2">
      <w:pPr>
        <w:pStyle w:val="2"/>
        <w:rPr>
          <w:bCs w:val="0"/>
          <w:color w:val="000000"/>
          <w:szCs w:val="20"/>
        </w:rPr>
      </w:pPr>
      <w:bookmarkStart w:id="269" w:name="_Toc230104347"/>
      <w:r>
        <w:rPr>
          <w:bCs w:val="0"/>
          <w:color w:val="000000"/>
          <w:szCs w:val="20"/>
        </w:rPr>
        <w:t>4.5.2. Сведения о депозитарии, осуществляющем централизованный учет прав на ценные бумаги эмитента</w:t>
      </w:r>
      <w:bookmarkEnd w:id="269"/>
    </w:p>
    <w:p w:rsidR="00A02ECF" w:rsidRDefault="006104A2">
      <w:pPr>
        <w:jc w:val="both"/>
      </w:pPr>
      <w:r>
        <w:rPr>
          <w:rStyle w:val="Subst"/>
        </w:rPr>
        <w:t>В обращении находятся ценные бумаги Эмитента с централизованным учетом прав.</w:t>
      </w:r>
    </w:p>
    <w:p w:rsidR="00A02ECF" w:rsidRDefault="006104A2">
      <w:pPr>
        <w:pStyle w:val="SubHeading"/>
      </w:pPr>
      <w:r>
        <w:t>Депозитарии:</w:t>
      </w:r>
    </w:p>
    <w:p w:rsidR="00A02ECF" w:rsidRDefault="006104A2">
      <w:pPr>
        <w:jc w:val="both"/>
      </w:pPr>
      <w:r>
        <w:t>Полное фирменное наименование:</w:t>
      </w:r>
      <w:r>
        <w:rPr>
          <w:rStyle w:val="Subst"/>
        </w:rPr>
        <w:t xml:space="preserve"> Небанковская кредитная организация акционерное общество «Национальный расчетный депозитарий»</w:t>
      </w:r>
    </w:p>
    <w:p w:rsidR="00A02ECF" w:rsidRDefault="006104A2">
      <w:r>
        <w:t>Сокращенное фирменное наименование:</w:t>
      </w:r>
      <w:r>
        <w:rPr>
          <w:rStyle w:val="Subst"/>
        </w:rPr>
        <w:t xml:space="preserve"> НКО АО НРД</w:t>
      </w:r>
    </w:p>
    <w:p w:rsidR="00A02ECF" w:rsidRDefault="006104A2">
      <w:r>
        <w:t>Место нахождения:</w:t>
      </w:r>
      <w:r>
        <w:rPr>
          <w:rStyle w:val="Subst"/>
        </w:rPr>
        <w:t xml:space="preserve"> Российская Федерация, город Москва</w:t>
      </w:r>
    </w:p>
    <w:p w:rsidR="00A02ECF" w:rsidRDefault="006104A2">
      <w:r>
        <w:t>ИНН:</w:t>
      </w:r>
      <w:r>
        <w:rPr>
          <w:rStyle w:val="Subst"/>
        </w:rPr>
        <w:t xml:space="preserve"> 7702165310</w:t>
      </w:r>
    </w:p>
    <w:p w:rsidR="00A02ECF" w:rsidRDefault="006104A2">
      <w:r>
        <w:t>ОГРН:</w:t>
      </w:r>
      <w:r>
        <w:rPr>
          <w:rStyle w:val="Subst"/>
        </w:rPr>
        <w:t xml:space="preserve"> 1027739132563</w:t>
      </w:r>
    </w:p>
    <w:p w:rsidR="00A02ECF" w:rsidRDefault="00A02ECF"/>
    <w:p w:rsidR="00A02ECF" w:rsidRDefault="006104A2">
      <w:pPr>
        <w:pStyle w:val="SubHeading"/>
        <w:spacing w:before="120"/>
        <w:jc w:val="both"/>
      </w:pPr>
      <w:r>
        <w:t>Данные о лицензии на осуществление депозитарной деятельности:</w:t>
      </w:r>
    </w:p>
    <w:p w:rsidR="00A02ECF" w:rsidRDefault="006104A2">
      <w:r>
        <w:t>Номер:</w:t>
      </w:r>
      <w:r>
        <w:rPr>
          <w:rStyle w:val="Subst"/>
        </w:rPr>
        <w:t xml:space="preserve"> 045-12042-000100</w:t>
      </w:r>
    </w:p>
    <w:p w:rsidR="00A02ECF" w:rsidRDefault="006104A2">
      <w:r>
        <w:t>Дата выдачи:</w:t>
      </w:r>
      <w:r>
        <w:rPr>
          <w:rStyle w:val="Subst"/>
        </w:rPr>
        <w:t xml:space="preserve"> 19.02.2009</w:t>
      </w:r>
    </w:p>
    <w:p w:rsidR="00A02ECF" w:rsidRDefault="006104A2">
      <w:r>
        <w:t>Срок действия:</w:t>
      </w:r>
    </w:p>
    <w:p w:rsidR="00A02ECF" w:rsidRDefault="006104A2">
      <w:r>
        <w:rPr>
          <w:rStyle w:val="Subst"/>
        </w:rPr>
        <w:t>Бессрочная</w:t>
      </w:r>
    </w:p>
    <w:p w:rsidR="00A02ECF" w:rsidRDefault="006104A2">
      <w:r>
        <w:t>Наименование органа, выдавшего лицензию:</w:t>
      </w:r>
      <w:r>
        <w:rPr>
          <w:rStyle w:val="Subst"/>
        </w:rPr>
        <w:t xml:space="preserve"> ФКЦБ (ФСФР) России</w:t>
      </w:r>
    </w:p>
    <w:p w:rsidR="00A02ECF" w:rsidRDefault="00A02ECF">
      <w:pPr>
        <w:jc w:val="both"/>
        <w:rPr>
          <w:b/>
          <w:i/>
        </w:rPr>
      </w:pPr>
    </w:p>
    <w:p w:rsidR="00A02ECF" w:rsidRDefault="006104A2">
      <w:pPr>
        <w:jc w:val="both"/>
      </w:pPr>
      <w:r>
        <w:rPr>
          <w:b/>
          <w:i/>
        </w:rPr>
        <w:t>Изменений в составе информации настоящего пункта в период между отчетной датой и датой раскрытия консолидированной финансовой отчетности не происходило.</w:t>
      </w:r>
      <w:r>
        <w:t xml:space="preserve"> </w:t>
      </w:r>
    </w:p>
    <w:p w:rsidR="00A02ECF" w:rsidRDefault="00A02ECF">
      <w:pPr>
        <w:jc w:val="both"/>
      </w:pPr>
    </w:p>
    <w:p w:rsidR="00A02ECF" w:rsidRDefault="006104A2">
      <w:pPr>
        <w:pStyle w:val="2"/>
        <w:rPr>
          <w:bCs w:val="0"/>
          <w:color w:val="000000"/>
          <w:szCs w:val="20"/>
        </w:rPr>
      </w:pPr>
      <w:bookmarkStart w:id="270" w:name="_Toc230104348"/>
      <w:bookmarkStart w:id="271" w:name="_Hlk230191783"/>
      <w:r>
        <w:rPr>
          <w:bCs w:val="0"/>
          <w:color w:val="000000"/>
          <w:szCs w:val="20"/>
        </w:rPr>
        <w:t>4.6. Информация об аудиторе эмитента</w:t>
      </w:r>
      <w:bookmarkEnd w:id="270"/>
    </w:p>
    <w:p w:rsidR="00A02ECF" w:rsidRDefault="006104A2">
      <w:pPr>
        <w:jc w:val="both"/>
      </w:pPr>
      <w:r>
        <w:t>Информация в отношении аудиторской организации эмитента, которая проводила проверку промежуточной отчетности эмитента, раскрытой эмитентом в отчетном периоде, и (или) которая проводила (будет проводить) проверку (обязательный аудит) годовой отчетности эмитента за текущий и последний завершенный отчетный год:</w:t>
      </w:r>
    </w:p>
    <w:p w:rsidR="00A02ECF" w:rsidRDefault="006104A2">
      <w:r>
        <w:t>Полное фирменное наименование:</w:t>
      </w:r>
      <w:r>
        <w:rPr>
          <w:rStyle w:val="Subst"/>
        </w:rPr>
        <w:t xml:space="preserve"> Общество с ограниченной ответственностью «Финансовые и бухгалтерские консультанты»</w:t>
      </w:r>
    </w:p>
    <w:p w:rsidR="00A02ECF" w:rsidRDefault="006104A2">
      <w:r>
        <w:t>Сокращенное фирменное наименование:</w:t>
      </w:r>
      <w:r>
        <w:rPr>
          <w:rStyle w:val="Subst"/>
        </w:rPr>
        <w:t xml:space="preserve"> ООО «ФБК»</w:t>
      </w:r>
    </w:p>
    <w:p w:rsidR="00A02ECF" w:rsidRDefault="006104A2">
      <w:r>
        <w:lastRenderedPageBreak/>
        <w:t xml:space="preserve">Место нахождения: </w:t>
      </w:r>
      <w:r>
        <w:rPr>
          <w:b/>
          <w:bCs/>
          <w:i/>
          <w:iCs/>
        </w:rPr>
        <w:t>101000, г. Москва, ул. Мясницкая, д.44, стр.2</w:t>
      </w:r>
    </w:p>
    <w:p w:rsidR="00A02ECF" w:rsidRDefault="006104A2">
      <w:r>
        <w:t>ИНН:</w:t>
      </w:r>
      <w:r>
        <w:rPr>
          <w:rStyle w:val="Subst"/>
        </w:rPr>
        <w:t xml:space="preserve"> 7701017140</w:t>
      </w:r>
    </w:p>
    <w:p w:rsidR="00A02ECF" w:rsidRDefault="006104A2">
      <w:r>
        <w:t>ОГРН:</w:t>
      </w:r>
      <w:r>
        <w:rPr>
          <w:rStyle w:val="Subst"/>
        </w:rPr>
        <w:t xml:space="preserve"> 1027700058286</w:t>
      </w:r>
    </w:p>
    <w:p w:rsidR="00A02ECF" w:rsidRDefault="00A02ECF"/>
    <w:p w:rsidR="00A02ECF" w:rsidRDefault="006104A2">
      <w:pPr>
        <w:pStyle w:val="SubHeading"/>
        <w:spacing w:before="0" w:after="0"/>
        <w:jc w:val="both"/>
      </w:pPr>
      <w:r>
        <w:t>Отчетный год и (или) иной отчетный период из числа последних трех завершенных отчетных лет и текущего года, за который аудиторской организацией проводилась (будет проводиться) проверка отчетности эмитента:</w:t>
      </w:r>
    </w:p>
    <w:tbl>
      <w:tblPr>
        <w:tblW w:w="8930" w:type="dxa"/>
        <w:tblInd w:w="214" w:type="dxa"/>
        <w:tblLayout w:type="fixed"/>
        <w:tblCellMar>
          <w:left w:w="72" w:type="dxa"/>
          <w:right w:w="72" w:type="dxa"/>
        </w:tblCellMar>
        <w:tblLook w:val="04A0" w:firstRow="1" w:lastRow="0" w:firstColumn="1" w:lastColumn="0" w:noHBand="0" w:noVBand="1"/>
      </w:tblPr>
      <w:tblGrid>
        <w:gridCol w:w="4394"/>
        <w:gridCol w:w="4536"/>
      </w:tblGrid>
      <w:tr w:rsidR="00A02ECF">
        <w:trPr>
          <w:tblHeader/>
        </w:trPr>
        <w:tc>
          <w:tcPr>
            <w:tcW w:w="4394" w:type="dxa"/>
            <w:tcBorders>
              <w:top w:val="single" w:sz="6" w:space="0" w:color="000000"/>
              <w:left w:val="single" w:sz="6" w:space="0" w:color="000000"/>
              <w:bottom w:val="single" w:sz="6" w:space="0" w:color="000000"/>
              <w:right w:val="single" w:sz="6" w:space="0" w:color="000000"/>
            </w:tcBorders>
          </w:tcPr>
          <w:p w:rsidR="00A02ECF" w:rsidRDefault="006104A2">
            <w:pPr>
              <w:jc w:val="center"/>
            </w:pPr>
            <w:r>
              <w:t>Бухгалтерская (финансовая) отчетность, год</w:t>
            </w:r>
          </w:p>
        </w:tc>
        <w:tc>
          <w:tcPr>
            <w:tcW w:w="4536" w:type="dxa"/>
            <w:tcBorders>
              <w:top w:val="single" w:sz="6" w:space="0" w:color="000000"/>
              <w:left w:val="single" w:sz="6" w:space="0" w:color="000000"/>
              <w:bottom w:val="single" w:sz="6" w:space="0" w:color="000000"/>
              <w:right w:val="single" w:sz="6" w:space="0" w:color="000000"/>
            </w:tcBorders>
          </w:tcPr>
          <w:p w:rsidR="00A02ECF" w:rsidRDefault="006104A2">
            <w:pPr>
              <w:jc w:val="center"/>
            </w:pPr>
            <w:r>
              <w:t>Консолидированная финансовая отчетность или финансовая отчетность, год</w:t>
            </w:r>
          </w:p>
        </w:tc>
      </w:tr>
      <w:tr w:rsidR="00A02ECF">
        <w:tc>
          <w:tcPr>
            <w:tcW w:w="4394" w:type="dxa"/>
            <w:tcBorders>
              <w:top w:val="single" w:sz="6" w:space="0" w:color="000000"/>
              <w:left w:val="single" w:sz="6" w:space="0" w:color="000000"/>
              <w:bottom w:val="single" w:sz="6" w:space="0" w:color="000000"/>
              <w:right w:val="single" w:sz="6" w:space="0" w:color="000000"/>
            </w:tcBorders>
          </w:tcPr>
          <w:p w:rsidR="00A02ECF" w:rsidRDefault="006104A2">
            <w:r>
              <w:t>2023</w:t>
            </w:r>
          </w:p>
        </w:tc>
        <w:tc>
          <w:tcPr>
            <w:tcW w:w="4536" w:type="dxa"/>
            <w:tcBorders>
              <w:top w:val="single" w:sz="6" w:space="0" w:color="000000"/>
              <w:left w:val="single" w:sz="6" w:space="0" w:color="000000"/>
              <w:bottom w:val="single" w:sz="6" w:space="0" w:color="000000"/>
              <w:right w:val="single" w:sz="6" w:space="0" w:color="000000"/>
            </w:tcBorders>
          </w:tcPr>
          <w:p w:rsidR="00A02ECF" w:rsidRDefault="006104A2">
            <w:r>
              <w:t>2023</w:t>
            </w:r>
          </w:p>
        </w:tc>
      </w:tr>
      <w:tr w:rsidR="00A02ECF">
        <w:tc>
          <w:tcPr>
            <w:tcW w:w="4394" w:type="dxa"/>
            <w:tcBorders>
              <w:top w:val="single" w:sz="6" w:space="0" w:color="000000"/>
              <w:left w:val="single" w:sz="6" w:space="0" w:color="000000"/>
              <w:bottom w:val="single" w:sz="6" w:space="0" w:color="000000"/>
              <w:right w:val="single" w:sz="6" w:space="0" w:color="000000"/>
            </w:tcBorders>
          </w:tcPr>
          <w:p w:rsidR="00A02ECF" w:rsidRDefault="006104A2">
            <w:r>
              <w:t>2024</w:t>
            </w:r>
          </w:p>
        </w:tc>
        <w:tc>
          <w:tcPr>
            <w:tcW w:w="4536" w:type="dxa"/>
            <w:tcBorders>
              <w:top w:val="single" w:sz="6" w:space="0" w:color="000000"/>
              <w:left w:val="single" w:sz="6" w:space="0" w:color="000000"/>
              <w:bottom w:val="single" w:sz="6" w:space="0" w:color="000000"/>
              <w:right w:val="single" w:sz="6" w:space="0" w:color="000000"/>
            </w:tcBorders>
          </w:tcPr>
          <w:p w:rsidR="00A02ECF" w:rsidRDefault="006104A2">
            <w:r>
              <w:t>2024</w:t>
            </w:r>
          </w:p>
        </w:tc>
      </w:tr>
      <w:tr w:rsidR="00A02ECF">
        <w:tc>
          <w:tcPr>
            <w:tcW w:w="4394" w:type="dxa"/>
            <w:tcBorders>
              <w:top w:val="single" w:sz="6" w:space="0" w:color="000000"/>
              <w:left w:val="single" w:sz="6" w:space="0" w:color="000000"/>
              <w:bottom w:val="single" w:sz="6" w:space="0" w:color="000000"/>
              <w:right w:val="single" w:sz="6" w:space="0" w:color="000000"/>
            </w:tcBorders>
          </w:tcPr>
          <w:p w:rsidR="00A02ECF" w:rsidRDefault="006104A2">
            <w:r>
              <w:t>2025</w:t>
            </w:r>
          </w:p>
        </w:tc>
        <w:tc>
          <w:tcPr>
            <w:tcW w:w="4536" w:type="dxa"/>
            <w:tcBorders>
              <w:top w:val="single" w:sz="6" w:space="0" w:color="000000"/>
              <w:left w:val="single" w:sz="6" w:space="0" w:color="000000"/>
              <w:bottom w:val="single" w:sz="6" w:space="0" w:color="000000"/>
              <w:right w:val="single" w:sz="6" w:space="0" w:color="000000"/>
            </w:tcBorders>
          </w:tcPr>
          <w:p w:rsidR="00A02ECF" w:rsidRDefault="006104A2">
            <w:r>
              <w:t>2025</w:t>
            </w:r>
          </w:p>
        </w:tc>
      </w:tr>
      <w:tr w:rsidR="00A02ECF">
        <w:tc>
          <w:tcPr>
            <w:tcW w:w="4394" w:type="dxa"/>
            <w:tcBorders>
              <w:top w:val="single" w:sz="6" w:space="0" w:color="000000"/>
              <w:left w:val="single" w:sz="6" w:space="0" w:color="000000"/>
              <w:bottom w:val="single" w:sz="6" w:space="0" w:color="000000"/>
              <w:right w:val="single" w:sz="6" w:space="0" w:color="000000"/>
            </w:tcBorders>
          </w:tcPr>
          <w:p w:rsidR="00A02ECF" w:rsidRDefault="006104A2">
            <w:pPr>
              <w:rPr>
                <w:lang w:val="en-US"/>
              </w:rPr>
            </w:pPr>
            <w:r>
              <w:t>202</w:t>
            </w:r>
            <w:r>
              <w:rPr>
                <w:lang w:val="en-US"/>
              </w:rPr>
              <w:t>6</w:t>
            </w:r>
          </w:p>
        </w:tc>
        <w:tc>
          <w:tcPr>
            <w:tcW w:w="4536" w:type="dxa"/>
            <w:tcBorders>
              <w:top w:val="single" w:sz="6" w:space="0" w:color="000000"/>
              <w:left w:val="single" w:sz="6" w:space="0" w:color="000000"/>
              <w:bottom w:val="single" w:sz="6" w:space="0" w:color="000000"/>
              <w:right w:val="single" w:sz="6" w:space="0" w:color="000000"/>
            </w:tcBorders>
          </w:tcPr>
          <w:p w:rsidR="00A02ECF" w:rsidRDefault="006104A2">
            <w:pPr>
              <w:rPr>
                <w:lang w:val="en-US"/>
              </w:rPr>
            </w:pPr>
            <w:r>
              <w:t>202</w:t>
            </w:r>
            <w:r>
              <w:rPr>
                <w:lang w:val="en-US"/>
              </w:rPr>
              <w:t>6</w:t>
            </w:r>
          </w:p>
        </w:tc>
      </w:tr>
    </w:tbl>
    <w:p w:rsidR="00A02ECF" w:rsidRDefault="00A02ECF"/>
    <w:p w:rsidR="00A02ECF" w:rsidRDefault="00A02ECF"/>
    <w:p w:rsidR="00A02ECF" w:rsidRDefault="006104A2">
      <w:pPr>
        <w:rPr>
          <w:b/>
          <w:i/>
        </w:rPr>
      </w:pPr>
      <w:r>
        <w:t xml:space="preserve">Сопутствующие аудиту и прочие связанные с аудиторской деятельностью услуги, которые оказывались (будут оказываться) эмитенту в течение последних трех завершенных отчетных лет и текущего года аудиторской организацией: </w:t>
      </w:r>
    </w:p>
    <w:tbl>
      <w:tblPr>
        <w:tblW w:w="8930" w:type="dxa"/>
        <w:tblInd w:w="214" w:type="dxa"/>
        <w:tblLayout w:type="fixed"/>
        <w:tblCellMar>
          <w:left w:w="72" w:type="dxa"/>
          <w:right w:w="72" w:type="dxa"/>
        </w:tblCellMar>
        <w:tblLook w:val="04A0" w:firstRow="1" w:lastRow="0" w:firstColumn="1" w:lastColumn="0" w:noHBand="0" w:noVBand="1"/>
      </w:tblPr>
      <w:tblGrid>
        <w:gridCol w:w="1065"/>
        <w:gridCol w:w="7865"/>
      </w:tblGrid>
      <w:tr w:rsidR="00A02ECF">
        <w:trPr>
          <w:tblHeader/>
        </w:trPr>
        <w:tc>
          <w:tcPr>
            <w:tcW w:w="1065" w:type="dxa"/>
            <w:tcBorders>
              <w:top w:val="single" w:sz="4" w:space="0" w:color="000000"/>
              <w:left w:val="single" w:sz="4" w:space="0" w:color="000000"/>
              <w:bottom w:val="single" w:sz="6" w:space="0" w:color="000000"/>
              <w:right w:val="single" w:sz="6" w:space="0" w:color="000000"/>
            </w:tcBorders>
          </w:tcPr>
          <w:p w:rsidR="00A02ECF" w:rsidRDefault="006104A2">
            <w:pPr>
              <w:jc w:val="center"/>
            </w:pPr>
            <w:r>
              <w:t>Год</w:t>
            </w:r>
          </w:p>
        </w:tc>
        <w:tc>
          <w:tcPr>
            <w:tcW w:w="7865" w:type="dxa"/>
            <w:tcBorders>
              <w:top w:val="single" w:sz="4" w:space="0" w:color="000000"/>
              <w:left w:val="single" w:sz="6" w:space="0" w:color="000000"/>
              <w:bottom w:val="single" w:sz="6" w:space="0" w:color="000000"/>
              <w:right w:val="single" w:sz="4" w:space="0" w:color="000000"/>
            </w:tcBorders>
          </w:tcPr>
          <w:p w:rsidR="00A02ECF" w:rsidRDefault="006104A2">
            <w:pPr>
              <w:jc w:val="center"/>
            </w:pPr>
            <w:r>
              <w:t>Сопутствующие аудиту и прочие связанные с аудиторской деятельностью услуги</w:t>
            </w:r>
          </w:p>
        </w:tc>
      </w:tr>
      <w:tr w:rsidR="00A02ECF">
        <w:tc>
          <w:tcPr>
            <w:tcW w:w="1065" w:type="dxa"/>
            <w:vMerge w:val="restart"/>
            <w:tcBorders>
              <w:top w:val="single" w:sz="4" w:space="0" w:color="000000"/>
              <w:left w:val="single" w:sz="4" w:space="0" w:color="000000"/>
              <w:bottom w:val="single" w:sz="4" w:space="0" w:color="000000"/>
              <w:right w:val="single" w:sz="6" w:space="0" w:color="000000"/>
            </w:tcBorders>
          </w:tcPr>
          <w:p w:rsidR="00A02ECF" w:rsidRDefault="006104A2">
            <w:pPr>
              <w:jc w:val="center"/>
            </w:pPr>
            <w:r>
              <w:t>2023</w:t>
            </w:r>
          </w:p>
        </w:tc>
        <w:tc>
          <w:tcPr>
            <w:tcW w:w="7865" w:type="dxa"/>
            <w:tcBorders>
              <w:top w:val="single" w:sz="6" w:space="0" w:color="000000"/>
              <w:left w:val="single" w:sz="6" w:space="0" w:color="000000"/>
              <w:bottom w:val="single" w:sz="4" w:space="0" w:color="000000"/>
              <w:right w:val="single" w:sz="4" w:space="0" w:color="000000"/>
            </w:tcBorders>
          </w:tcPr>
          <w:p w:rsidR="00A02ECF" w:rsidRDefault="006104A2">
            <w:r>
              <w:t>Обзорные проверки консолидированной промежуточной сокращенной финансовой отчетности ПАО «Газпром»</w:t>
            </w:r>
          </w:p>
        </w:tc>
      </w:tr>
      <w:tr w:rsidR="00A02ECF">
        <w:tc>
          <w:tcPr>
            <w:tcW w:w="1065" w:type="dxa"/>
            <w:vMerge/>
            <w:tcBorders>
              <w:top w:val="single" w:sz="4" w:space="0" w:color="000000"/>
              <w:left w:val="single" w:sz="4" w:space="0" w:color="000000"/>
              <w:bottom w:val="single" w:sz="4" w:space="0" w:color="000000"/>
              <w:right w:val="single" w:sz="6" w:space="0" w:color="000000"/>
            </w:tcBorders>
          </w:tcPr>
          <w:p w:rsidR="00A02ECF" w:rsidRDefault="00A02ECF">
            <w:pPr>
              <w:jc w:val="center"/>
            </w:pPr>
          </w:p>
        </w:tc>
        <w:tc>
          <w:tcPr>
            <w:tcW w:w="7865" w:type="dxa"/>
            <w:tcBorders>
              <w:top w:val="single" w:sz="4" w:space="0" w:color="000000"/>
              <w:left w:val="single" w:sz="4" w:space="0" w:color="000000"/>
              <w:bottom w:val="single" w:sz="4" w:space="0" w:color="000000"/>
              <w:right w:val="single" w:sz="4" w:space="0" w:color="000000"/>
            </w:tcBorders>
          </w:tcPr>
          <w:p w:rsidR="00A02ECF" w:rsidRDefault="006104A2">
            <w:r>
              <w:t>Обзорная проверка раскрываемой консолидированной промежуточной сокращенной финансовой отчетности ПАО «Газпром»</w:t>
            </w:r>
          </w:p>
        </w:tc>
      </w:tr>
      <w:tr w:rsidR="00A02ECF">
        <w:tc>
          <w:tcPr>
            <w:tcW w:w="1065" w:type="dxa"/>
            <w:vMerge/>
            <w:tcBorders>
              <w:top w:val="single" w:sz="4" w:space="0" w:color="000000"/>
              <w:left w:val="single" w:sz="4" w:space="0" w:color="000000"/>
              <w:bottom w:val="single" w:sz="4" w:space="0" w:color="000000"/>
              <w:right w:val="single" w:sz="6" w:space="0" w:color="000000"/>
            </w:tcBorders>
          </w:tcPr>
          <w:p w:rsidR="00A02ECF" w:rsidRDefault="00A02ECF">
            <w:pPr>
              <w:jc w:val="center"/>
            </w:pPr>
          </w:p>
        </w:tc>
        <w:tc>
          <w:tcPr>
            <w:tcW w:w="7865" w:type="dxa"/>
            <w:tcBorders>
              <w:top w:val="single" w:sz="4" w:space="0" w:color="000000"/>
              <w:left w:val="single" w:sz="4" w:space="0" w:color="000000"/>
              <w:bottom w:val="single" w:sz="4" w:space="0" w:color="000000"/>
              <w:right w:val="single" w:sz="4" w:space="0" w:color="000000"/>
            </w:tcBorders>
          </w:tcPr>
          <w:p w:rsidR="00A02ECF" w:rsidRDefault="006104A2">
            <w:r>
              <w:t>Проведение аудита реализации Долгосрочной программы развития ПАО «Газпром»</w:t>
            </w:r>
          </w:p>
        </w:tc>
      </w:tr>
      <w:tr w:rsidR="00A02ECF">
        <w:tc>
          <w:tcPr>
            <w:tcW w:w="1065" w:type="dxa"/>
            <w:vMerge/>
            <w:tcBorders>
              <w:top w:val="single" w:sz="4" w:space="0" w:color="000000"/>
              <w:left w:val="single" w:sz="4" w:space="0" w:color="000000"/>
              <w:right w:val="single" w:sz="6" w:space="0" w:color="000000"/>
            </w:tcBorders>
          </w:tcPr>
          <w:p w:rsidR="00A02ECF" w:rsidRDefault="00A02ECF">
            <w:pPr>
              <w:jc w:val="center"/>
            </w:pPr>
          </w:p>
        </w:tc>
        <w:tc>
          <w:tcPr>
            <w:tcW w:w="7865" w:type="dxa"/>
            <w:tcBorders>
              <w:top w:val="single" w:sz="4" w:space="0" w:color="000000"/>
              <w:left w:val="single" w:sz="6" w:space="0" w:color="000000"/>
              <w:bottom w:val="single" w:sz="6" w:space="0" w:color="000000"/>
              <w:right w:val="single" w:sz="4" w:space="0" w:color="000000"/>
            </w:tcBorders>
          </w:tcPr>
          <w:p w:rsidR="00A02ECF" w:rsidRDefault="006104A2">
            <w:r>
              <w:t>Подтверждение отчета о социальной деятельности Группы Газпром</w:t>
            </w:r>
          </w:p>
        </w:tc>
      </w:tr>
      <w:tr w:rsidR="00A02ECF">
        <w:tc>
          <w:tcPr>
            <w:tcW w:w="1065" w:type="dxa"/>
            <w:tcBorders>
              <w:left w:val="single" w:sz="4" w:space="0" w:color="000000"/>
              <w:right w:val="single" w:sz="6" w:space="0" w:color="000000"/>
            </w:tcBorders>
          </w:tcPr>
          <w:p w:rsidR="00A02ECF" w:rsidRDefault="00A02ECF">
            <w:pPr>
              <w:jc w:val="center"/>
            </w:pPr>
          </w:p>
        </w:tc>
        <w:tc>
          <w:tcPr>
            <w:tcW w:w="7865" w:type="dxa"/>
            <w:tcBorders>
              <w:top w:val="single" w:sz="6" w:space="0" w:color="000000"/>
              <w:left w:val="single" w:sz="6" w:space="0" w:color="000000"/>
              <w:bottom w:val="single" w:sz="6" w:space="0" w:color="000000"/>
              <w:right w:val="single" w:sz="4" w:space="0" w:color="000000"/>
            </w:tcBorders>
          </w:tcPr>
          <w:p w:rsidR="00A02ECF" w:rsidRDefault="006104A2">
            <w:r>
              <w:t>Оценка права требования</w:t>
            </w:r>
          </w:p>
        </w:tc>
      </w:tr>
      <w:tr w:rsidR="00A02ECF">
        <w:tc>
          <w:tcPr>
            <w:tcW w:w="1065" w:type="dxa"/>
            <w:tcBorders>
              <w:left w:val="single" w:sz="4" w:space="0" w:color="000000"/>
              <w:right w:val="single" w:sz="6" w:space="0" w:color="000000"/>
            </w:tcBorders>
          </w:tcPr>
          <w:p w:rsidR="00A02ECF" w:rsidRDefault="00A02ECF">
            <w:pPr>
              <w:jc w:val="center"/>
            </w:pPr>
          </w:p>
        </w:tc>
        <w:tc>
          <w:tcPr>
            <w:tcW w:w="7865" w:type="dxa"/>
            <w:tcBorders>
              <w:top w:val="single" w:sz="4" w:space="0" w:color="000000"/>
              <w:left w:val="single" w:sz="4" w:space="0" w:color="000000"/>
              <w:bottom w:val="single" w:sz="4" w:space="0" w:color="000000"/>
              <w:right w:val="single" w:sz="4" w:space="0" w:color="000000"/>
            </w:tcBorders>
          </w:tcPr>
          <w:p w:rsidR="00A02ECF" w:rsidRDefault="006104A2">
            <w:r>
              <w:t>Налоговое консультирование</w:t>
            </w:r>
          </w:p>
        </w:tc>
      </w:tr>
      <w:tr w:rsidR="00A02ECF">
        <w:tc>
          <w:tcPr>
            <w:tcW w:w="1065" w:type="dxa"/>
            <w:tcBorders>
              <w:left w:val="single" w:sz="4" w:space="0" w:color="000000"/>
              <w:right w:val="single" w:sz="6" w:space="0" w:color="000000"/>
            </w:tcBorders>
          </w:tcPr>
          <w:p w:rsidR="00A02ECF" w:rsidRDefault="00A02ECF">
            <w:pPr>
              <w:jc w:val="center"/>
            </w:pPr>
          </w:p>
        </w:tc>
        <w:tc>
          <w:tcPr>
            <w:tcW w:w="7865" w:type="dxa"/>
            <w:tcBorders>
              <w:top w:val="single" w:sz="4" w:space="0" w:color="000000"/>
              <w:left w:val="single" w:sz="4" w:space="0" w:color="000000"/>
              <w:bottom w:val="single" w:sz="4" w:space="0" w:color="000000"/>
              <w:right w:val="single" w:sz="4" w:space="0" w:color="000000"/>
            </w:tcBorders>
          </w:tcPr>
          <w:p w:rsidR="00A02ECF" w:rsidRDefault="006104A2">
            <w:r>
              <w:t>Управленческое консультирование</w:t>
            </w:r>
          </w:p>
        </w:tc>
      </w:tr>
      <w:tr w:rsidR="00A02ECF">
        <w:tc>
          <w:tcPr>
            <w:tcW w:w="1065" w:type="dxa"/>
            <w:tcBorders>
              <w:left w:val="single" w:sz="4" w:space="0" w:color="000000"/>
              <w:bottom w:val="single" w:sz="4" w:space="0" w:color="000000"/>
              <w:right w:val="single" w:sz="6" w:space="0" w:color="000000"/>
            </w:tcBorders>
          </w:tcPr>
          <w:p w:rsidR="00A02ECF" w:rsidRDefault="00A02ECF">
            <w:pPr>
              <w:jc w:val="center"/>
            </w:pPr>
          </w:p>
        </w:tc>
        <w:tc>
          <w:tcPr>
            <w:tcW w:w="7865" w:type="dxa"/>
            <w:tcBorders>
              <w:top w:val="single" w:sz="4" w:space="0" w:color="000000"/>
              <w:left w:val="single" w:sz="4" w:space="0" w:color="000000"/>
              <w:bottom w:val="single" w:sz="4" w:space="0" w:color="000000"/>
              <w:right w:val="single" w:sz="4" w:space="0" w:color="000000"/>
            </w:tcBorders>
          </w:tcPr>
          <w:p w:rsidR="00A02ECF" w:rsidRDefault="006104A2">
            <w:r>
              <w:t>Консультации по правовым вопросам</w:t>
            </w:r>
          </w:p>
        </w:tc>
      </w:tr>
      <w:tr w:rsidR="00A02ECF">
        <w:tc>
          <w:tcPr>
            <w:tcW w:w="1065" w:type="dxa"/>
            <w:tcBorders>
              <w:top w:val="single" w:sz="4" w:space="0" w:color="000000"/>
              <w:left w:val="single" w:sz="4" w:space="0" w:color="000000"/>
              <w:right w:val="single" w:sz="6" w:space="0" w:color="000000"/>
            </w:tcBorders>
          </w:tcPr>
          <w:p w:rsidR="00A02ECF" w:rsidRDefault="006104A2">
            <w:pPr>
              <w:jc w:val="center"/>
            </w:pPr>
            <w:r>
              <w:t>2024</w:t>
            </w:r>
          </w:p>
        </w:tc>
        <w:tc>
          <w:tcPr>
            <w:tcW w:w="7865" w:type="dxa"/>
            <w:tcBorders>
              <w:top w:val="single" w:sz="4" w:space="0" w:color="000000"/>
              <w:left w:val="single" w:sz="6" w:space="0" w:color="000000"/>
              <w:bottom w:val="single" w:sz="6" w:space="0" w:color="000000"/>
              <w:right w:val="single" w:sz="4" w:space="0" w:color="000000"/>
            </w:tcBorders>
          </w:tcPr>
          <w:p w:rsidR="00A02ECF" w:rsidRDefault="006104A2">
            <w:r>
              <w:t>Обзорные проверки консолидированной промежуточной сокращенной финансовой отчетности ПАО «Газпром»</w:t>
            </w:r>
          </w:p>
        </w:tc>
      </w:tr>
      <w:tr w:rsidR="00A02ECF">
        <w:tc>
          <w:tcPr>
            <w:tcW w:w="1065" w:type="dxa"/>
            <w:tcBorders>
              <w:left w:val="single" w:sz="4" w:space="0" w:color="000000"/>
              <w:right w:val="single" w:sz="6" w:space="0" w:color="000000"/>
            </w:tcBorders>
          </w:tcPr>
          <w:p w:rsidR="00A02ECF" w:rsidRDefault="00A02ECF">
            <w:pPr>
              <w:jc w:val="center"/>
            </w:pPr>
          </w:p>
        </w:tc>
        <w:tc>
          <w:tcPr>
            <w:tcW w:w="7865" w:type="dxa"/>
            <w:tcBorders>
              <w:top w:val="single" w:sz="6" w:space="0" w:color="000000"/>
              <w:left w:val="single" w:sz="6" w:space="0" w:color="000000"/>
              <w:bottom w:val="single" w:sz="6" w:space="0" w:color="000000"/>
              <w:right w:val="single" w:sz="4" w:space="0" w:color="000000"/>
            </w:tcBorders>
          </w:tcPr>
          <w:p w:rsidR="00A02ECF" w:rsidRDefault="006104A2">
            <w:r>
              <w:t>Подтверждение отчета о социальной деятельности Группы Газпром</w:t>
            </w:r>
          </w:p>
        </w:tc>
      </w:tr>
      <w:tr w:rsidR="00A02ECF">
        <w:tc>
          <w:tcPr>
            <w:tcW w:w="1065" w:type="dxa"/>
            <w:tcBorders>
              <w:left w:val="single" w:sz="4" w:space="0" w:color="000000"/>
              <w:right w:val="single" w:sz="6" w:space="0" w:color="000000"/>
            </w:tcBorders>
          </w:tcPr>
          <w:p w:rsidR="00A02ECF" w:rsidRDefault="00A02ECF">
            <w:pPr>
              <w:jc w:val="center"/>
            </w:pPr>
          </w:p>
        </w:tc>
        <w:tc>
          <w:tcPr>
            <w:tcW w:w="7865" w:type="dxa"/>
            <w:tcBorders>
              <w:top w:val="single" w:sz="6" w:space="0" w:color="000000"/>
              <w:left w:val="single" w:sz="6" w:space="0" w:color="000000"/>
              <w:bottom w:val="single" w:sz="6" w:space="0" w:color="000000"/>
              <w:right w:val="single" w:sz="4" w:space="0" w:color="000000"/>
            </w:tcBorders>
          </w:tcPr>
          <w:p w:rsidR="00A02ECF" w:rsidRDefault="006104A2">
            <w:r>
              <w:t>Аудиторская проверка реализации долгосрочной программы развития ПАО «Газпром» (Группы Газпром)</w:t>
            </w:r>
          </w:p>
        </w:tc>
      </w:tr>
      <w:tr w:rsidR="00A02ECF">
        <w:tc>
          <w:tcPr>
            <w:tcW w:w="1065" w:type="dxa"/>
            <w:tcBorders>
              <w:left w:val="single" w:sz="4" w:space="0" w:color="000000"/>
              <w:right w:val="single" w:sz="6" w:space="0" w:color="000000"/>
            </w:tcBorders>
          </w:tcPr>
          <w:p w:rsidR="00A02ECF" w:rsidRDefault="00A02ECF">
            <w:pPr>
              <w:jc w:val="center"/>
            </w:pPr>
          </w:p>
        </w:tc>
        <w:tc>
          <w:tcPr>
            <w:tcW w:w="7865" w:type="dxa"/>
            <w:tcBorders>
              <w:top w:val="single" w:sz="6" w:space="0" w:color="000000"/>
              <w:left w:val="single" w:sz="6" w:space="0" w:color="000000"/>
              <w:bottom w:val="single" w:sz="6" w:space="0" w:color="000000"/>
              <w:right w:val="single" w:sz="4" w:space="0" w:color="000000"/>
            </w:tcBorders>
          </w:tcPr>
          <w:p w:rsidR="00A02ECF" w:rsidRDefault="006104A2">
            <w:r>
              <w:t>Налоговое консультирование</w:t>
            </w:r>
          </w:p>
        </w:tc>
      </w:tr>
      <w:tr w:rsidR="00A02ECF">
        <w:tc>
          <w:tcPr>
            <w:tcW w:w="1065" w:type="dxa"/>
            <w:tcBorders>
              <w:left w:val="single" w:sz="4" w:space="0" w:color="000000"/>
              <w:bottom w:val="single" w:sz="4" w:space="0" w:color="000000"/>
              <w:right w:val="single" w:sz="6" w:space="0" w:color="000000"/>
            </w:tcBorders>
          </w:tcPr>
          <w:p w:rsidR="00A02ECF" w:rsidRDefault="00A02ECF">
            <w:pPr>
              <w:jc w:val="center"/>
            </w:pPr>
          </w:p>
        </w:tc>
        <w:tc>
          <w:tcPr>
            <w:tcW w:w="7865" w:type="dxa"/>
            <w:tcBorders>
              <w:top w:val="single" w:sz="6" w:space="0" w:color="000000"/>
              <w:left w:val="single" w:sz="6" w:space="0" w:color="000000"/>
              <w:bottom w:val="single" w:sz="4" w:space="0" w:color="000000"/>
              <w:right w:val="single" w:sz="4" w:space="0" w:color="000000"/>
            </w:tcBorders>
          </w:tcPr>
          <w:p w:rsidR="00A02ECF" w:rsidRDefault="006104A2">
            <w:r>
              <w:t>Управленческое консультирование</w:t>
            </w:r>
          </w:p>
        </w:tc>
      </w:tr>
      <w:tr w:rsidR="00A02ECF">
        <w:tc>
          <w:tcPr>
            <w:tcW w:w="1065" w:type="dxa"/>
            <w:tcBorders>
              <w:top w:val="single" w:sz="4" w:space="0" w:color="000000"/>
              <w:left w:val="single" w:sz="4" w:space="0" w:color="000000"/>
              <w:right w:val="single" w:sz="6" w:space="0" w:color="000000"/>
            </w:tcBorders>
          </w:tcPr>
          <w:p w:rsidR="00A02ECF" w:rsidRDefault="006104A2">
            <w:pPr>
              <w:jc w:val="center"/>
            </w:pPr>
            <w:r>
              <w:t>2025</w:t>
            </w:r>
          </w:p>
        </w:tc>
        <w:tc>
          <w:tcPr>
            <w:tcW w:w="7865" w:type="dxa"/>
            <w:tcBorders>
              <w:top w:val="single" w:sz="4" w:space="0" w:color="000000"/>
              <w:left w:val="single" w:sz="6" w:space="0" w:color="000000"/>
              <w:bottom w:val="single" w:sz="6" w:space="0" w:color="000000"/>
              <w:right w:val="single" w:sz="4" w:space="0" w:color="000000"/>
            </w:tcBorders>
          </w:tcPr>
          <w:p w:rsidR="00A02ECF" w:rsidRDefault="006104A2">
            <w:r>
              <w:t>Обзорные проверки консолидированной промежуточной сокращенной финансовой отчетности ПАО «Газпром»</w:t>
            </w:r>
          </w:p>
        </w:tc>
      </w:tr>
      <w:tr w:rsidR="00A02ECF">
        <w:tc>
          <w:tcPr>
            <w:tcW w:w="1065" w:type="dxa"/>
            <w:tcBorders>
              <w:left w:val="single" w:sz="4" w:space="0" w:color="000000"/>
              <w:right w:val="single" w:sz="6" w:space="0" w:color="000000"/>
            </w:tcBorders>
          </w:tcPr>
          <w:p w:rsidR="00A02ECF" w:rsidRDefault="00A02ECF">
            <w:pPr>
              <w:jc w:val="center"/>
            </w:pPr>
          </w:p>
        </w:tc>
        <w:tc>
          <w:tcPr>
            <w:tcW w:w="7865" w:type="dxa"/>
            <w:tcBorders>
              <w:top w:val="single" w:sz="6" w:space="0" w:color="000000"/>
              <w:left w:val="single" w:sz="6" w:space="0" w:color="000000"/>
              <w:bottom w:val="single" w:sz="6" w:space="0" w:color="000000"/>
              <w:right w:val="single" w:sz="4" w:space="0" w:color="000000"/>
            </w:tcBorders>
          </w:tcPr>
          <w:p w:rsidR="00A02ECF" w:rsidRDefault="006104A2">
            <w:r>
              <w:t>Подтверждение отчета о социальной деятельности Группы Газпром</w:t>
            </w:r>
          </w:p>
        </w:tc>
      </w:tr>
      <w:tr w:rsidR="00A02ECF">
        <w:tc>
          <w:tcPr>
            <w:tcW w:w="1065" w:type="dxa"/>
            <w:tcBorders>
              <w:left w:val="single" w:sz="4" w:space="0" w:color="000000"/>
              <w:right w:val="single" w:sz="6" w:space="0" w:color="000000"/>
            </w:tcBorders>
          </w:tcPr>
          <w:p w:rsidR="00A02ECF" w:rsidRDefault="00A02ECF">
            <w:pPr>
              <w:jc w:val="center"/>
            </w:pPr>
          </w:p>
        </w:tc>
        <w:tc>
          <w:tcPr>
            <w:tcW w:w="7865" w:type="dxa"/>
            <w:tcBorders>
              <w:top w:val="single" w:sz="6" w:space="0" w:color="000000"/>
              <w:left w:val="single" w:sz="6" w:space="0" w:color="000000"/>
              <w:bottom w:val="single" w:sz="6" w:space="0" w:color="000000"/>
              <w:right w:val="single" w:sz="4" w:space="0" w:color="000000"/>
            </w:tcBorders>
          </w:tcPr>
          <w:p w:rsidR="00A02ECF" w:rsidRDefault="006104A2">
            <w:r>
              <w:t>Аудиторская проверка реализации долгосрочной программы развития ПАО «Газпром» (Группы Газпром)</w:t>
            </w:r>
          </w:p>
        </w:tc>
      </w:tr>
      <w:tr w:rsidR="00A02ECF">
        <w:tc>
          <w:tcPr>
            <w:tcW w:w="1065" w:type="dxa"/>
            <w:tcBorders>
              <w:left w:val="single" w:sz="4" w:space="0" w:color="000000"/>
              <w:bottom w:val="single" w:sz="4" w:space="0" w:color="auto"/>
              <w:right w:val="single" w:sz="6" w:space="0" w:color="000000"/>
            </w:tcBorders>
          </w:tcPr>
          <w:p w:rsidR="00A02ECF" w:rsidRDefault="00A02ECF">
            <w:pPr>
              <w:jc w:val="center"/>
            </w:pPr>
          </w:p>
        </w:tc>
        <w:tc>
          <w:tcPr>
            <w:tcW w:w="7865" w:type="dxa"/>
            <w:tcBorders>
              <w:top w:val="single" w:sz="6" w:space="0" w:color="000000"/>
              <w:left w:val="single" w:sz="6" w:space="0" w:color="000000"/>
              <w:bottom w:val="single" w:sz="4" w:space="0" w:color="auto"/>
              <w:right w:val="single" w:sz="4" w:space="0" w:color="000000"/>
            </w:tcBorders>
          </w:tcPr>
          <w:p w:rsidR="00A02ECF" w:rsidRDefault="006104A2">
            <w:r>
              <w:t>Управленческое консультирование</w:t>
            </w:r>
          </w:p>
        </w:tc>
      </w:tr>
      <w:tr w:rsidR="00A02ECF">
        <w:tc>
          <w:tcPr>
            <w:tcW w:w="1065" w:type="dxa"/>
            <w:tcBorders>
              <w:top w:val="single" w:sz="4" w:space="0" w:color="auto"/>
              <w:left w:val="single" w:sz="4" w:space="0" w:color="000000"/>
              <w:right w:val="single" w:sz="6" w:space="0" w:color="000000"/>
            </w:tcBorders>
          </w:tcPr>
          <w:p w:rsidR="00A02ECF" w:rsidRDefault="006104A2">
            <w:pPr>
              <w:jc w:val="center"/>
              <w:rPr>
                <w:lang w:val="en-US"/>
              </w:rPr>
            </w:pPr>
            <w:r>
              <w:rPr>
                <w:lang w:val="en-US"/>
              </w:rPr>
              <w:t>2026</w:t>
            </w:r>
          </w:p>
        </w:tc>
        <w:tc>
          <w:tcPr>
            <w:tcW w:w="7865" w:type="dxa"/>
            <w:tcBorders>
              <w:top w:val="single" w:sz="4" w:space="0" w:color="auto"/>
              <w:left w:val="single" w:sz="6" w:space="0" w:color="000000"/>
              <w:bottom w:val="single" w:sz="6" w:space="0" w:color="000000"/>
              <w:right w:val="single" w:sz="4" w:space="0" w:color="000000"/>
            </w:tcBorders>
          </w:tcPr>
          <w:p w:rsidR="00A02ECF" w:rsidRDefault="006104A2">
            <w:r>
              <w:t>Обзорные проверки консолидированной промежуточной сокращенной финансовой отчетности ПАО «Газпром»</w:t>
            </w:r>
          </w:p>
        </w:tc>
      </w:tr>
      <w:tr w:rsidR="00A02ECF">
        <w:tc>
          <w:tcPr>
            <w:tcW w:w="1065" w:type="dxa"/>
            <w:tcBorders>
              <w:left w:val="single" w:sz="4" w:space="0" w:color="000000"/>
              <w:bottom w:val="single" w:sz="4" w:space="0" w:color="000000"/>
              <w:right w:val="single" w:sz="6" w:space="0" w:color="000000"/>
            </w:tcBorders>
          </w:tcPr>
          <w:p w:rsidR="00A02ECF" w:rsidRDefault="00A02ECF">
            <w:pPr>
              <w:jc w:val="center"/>
            </w:pPr>
          </w:p>
        </w:tc>
        <w:tc>
          <w:tcPr>
            <w:tcW w:w="7865" w:type="dxa"/>
            <w:tcBorders>
              <w:top w:val="single" w:sz="6" w:space="0" w:color="000000"/>
              <w:left w:val="single" w:sz="6" w:space="0" w:color="000000"/>
              <w:bottom w:val="single" w:sz="4" w:space="0" w:color="000000"/>
              <w:right w:val="single" w:sz="4" w:space="0" w:color="000000"/>
            </w:tcBorders>
          </w:tcPr>
          <w:p w:rsidR="00A02ECF" w:rsidRDefault="006104A2">
            <w:r>
              <w:t>Подтверждение отчета о социальной деятельности Группы Газпром</w:t>
            </w:r>
          </w:p>
        </w:tc>
      </w:tr>
    </w:tbl>
    <w:p w:rsidR="00A02ECF" w:rsidRDefault="006104A2">
      <w:pPr>
        <w:spacing w:before="120"/>
        <w:jc w:val="both"/>
      </w:pPr>
      <w:r>
        <w:rPr>
          <w:rStyle w:val="Subst"/>
        </w:rPr>
        <w:t>Факторов, которые могут оказать влияние на независимость аудиторской организации, в том числе сведения о наличии существенных интересов (взаимоотношений), связывающих с эмитентом (членами органов управления и органов контроля за финансово-хозяйственной деятельностью эмитента) аудиторскую организацию эмитента (членов органов управления и органов контроля за финансово-хозяйственной деятельностью аудиторской организации), а также участников аудиторской группы, нет.</w:t>
      </w:r>
    </w:p>
    <w:p w:rsidR="00A02ECF" w:rsidRDefault="00A02ECF">
      <w:pPr>
        <w:pStyle w:val="SubHeading"/>
        <w:spacing w:before="0" w:after="0"/>
      </w:pPr>
    </w:p>
    <w:p w:rsidR="00A02ECF" w:rsidRDefault="006104A2">
      <w:pPr>
        <w:pStyle w:val="SubHeading"/>
        <w:spacing w:before="0" w:after="0"/>
        <w:jc w:val="both"/>
      </w:pPr>
      <w:r>
        <w:lastRenderedPageBreak/>
        <w:t xml:space="preserve">Меры, предпринятые эмитентом и аудиторской организацией эмитента для снижения влияния факторов, которые могут оказать влияние на независимость аудиторской организации: </w:t>
      </w:r>
    </w:p>
    <w:p w:rsidR="00A02ECF" w:rsidRDefault="006104A2">
      <w:pPr>
        <w:spacing w:before="120"/>
        <w:jc w:val="both"/>
        <w:rPr>
          <w:rStyle w:val="Subst"/>
        </w:rPr>
      </w:pPr>
      <w:r>
        <w:rPr>
          <w:rStyle w:val="Subst"/>
        </w:rPr>
        <w:t xml:space="preserve">ПАО «Газпром» при выборе и организации работы с аудиторской организацией руководствуется действующим законодательством Российской Федерации, которое предусматривает проведение комплекса мер, направленных на снижение влияния указанных выше факторов. </w:t>
      </w:r>
    </w:p>
    <w:p w:rsidR="00A02ECF" w:rsidRDefault="006104A2">
      <w:pPr>
        <w:spacing w:before="120"/>
        <w:jc w:val="both"/>
        <w:rPr>
          <w:rStyle w:val="Subst"/>
        </w:rPr>
      </w:pPr>
      <w:r>
        <w:rPr>
          <w:rStyle w:val="Subst"/>
        </w:rPr>
        <w:t>В ПАО «Газпром» в целях обеспечения независимости и объективности внешней аудиторской организации – ООО «ФБК» разработаны и применяются требования и процедуры, соблюдение которых позволяет квалифицировать аудиторскую организацию как независимую, включая обсуждение и</w:t>
      </w:r>
      <w:r>
        <w:rPr>
          <w:rStyle w:val="Subst"/>
          <w:lang w:val="en-US"/>
        </w:rPr>
        <w:t> </w:t>
      </w:r>
      <w:r>
        <w:rPr>
          <w:rStyle w:val="Subst"/>
        </w:rPr>
        <w:t>рассмотрение отношений между ООО «ФБК» и ПАО «Газпром», которые способны повлиять на</w:t>
      </w:r>
      <w:r>
        <w:rPr>
          <w:rStyle w:val="Subst"/>
          <w:lang w:val="en-US"/>
        </w:rPr>
        <w:t> </w:t>
      </w:r>
      <w:r>
        <w:rPr>
          <w:rStyle w:val="Subst"/>
        </w:rPr>
        <w:t>независимость ООО «ФБК». </w:t>
      </w:r>
    </w:p>
    <w:p w:rsidR="00A02ECF" w:rsidRDefault="006104A2">
      <w:pPr>
        <w:spacing w:before="120"/>
        <w:jc w:val="both"/>
        <w:rPr>
          <w:rStyle w:val="Subst"/>
        </w:rPr>
      </w:pPr>
      <w:r>
        <w:rPr>
          <w:rStyle w:val="Subst"/>
        </w:rPr>
        <w:t>Комитет Совета директоров ПАО «Газпром» по аудиту, в соответствии с действующим законодательством Российской Федерации и на основании Политики по организации и проведению внешнего аудита ПАО «Газпром», дочерних обществ и организаций, и Положения о Комитете Совета директоров ПАО «Газпром» по аудиту, обеспечивает независимость и объективность осуществления функций внешнего аудита Общества, включая обсуждение и рассмотрение мер, принимаемых ООО «ФБК» для обеспечения своей независимости.</w:t>
      </w:r>
    </w:p>
    <w:p w:rsidR="00A02ECF" w:rsidRDefault="006104A2">
      <w:pPr>
        <w:spacing w:before="120"/>
        <w:jc w:val="both"/>
        <w:rPr>
          <w:rStyle w:val="Subst"/>
        </w:rPr>
      </w:pPr>
      <w:r>
        <w:rPr>
          <w:rStyle w:val="Subst"/>
        </w:rPr>
        <w:t>Положение о Комитете Совета директоров ПАО «Газпром» по аудиту и Политика по организации и</w:t>
      </w:r>
      <w:r>
        <w:rPr>
          <w:rStyle w:val="Subst"/>
          <w:lang w:val="en-US"/>
        </w:rPr>
        <w:t> </w:t>
      </w:r>
      <w:r>
        <w:rPr>
          <w:rStyle w:val="Subst"/>
        </w:rPr>
        <w:t>проведению внешнего аудита ПАО «Газпром», дочерних обществ и организаций опубликованы на Интернет-сайте ПАО «Газпром» в разделе «Акционерам и Инвесторам» / «Устав и внутренние документы ПАО «Газпром»» (https://www.gazprom.ru/investors/documents/).</w:t>
      </w:r>
    </w:p>
    <w:p w:rsidR="00A02ECF" w:rsidRDefault="006104A2">
      <w:pPr>
        <w:spacing w:before="120"/>
        <w:jc w:val="both"/>
        <w:rPr>
          <w:rStyle w:val="Subst"/>
        </w:rPr>
      </w:pPr>
      <w:r>
        <w:rPr>
          <w:rStyle w:val="Subst"/>
        </w:rPr>
        <w:t>С целью обеспечения своей независимости ООО «ФБК» внедрило политики, процессы и процедуры, обеспечивающие соблюдение этических норм посредством применения контрольных мер безопасности, нацеленных как на предупреждение, так и на обнаружение угроз объективности и независимости. Такие меры обеспечивают обоснованную уверенность в том, что ООО «ФБК» будет независимым по</w:t>
      </w:r>
      <w:r>
        <w:rPr>
          <w:rStyle w:val="Subst"/>
          <w:lang w:val="en-US"/>
        </w:rPr>
        <w:t> </w:t>
      </w:r>
      <w:r>
        <w:rPr>
          <w:rStyle w:val="Subst"/>
        </w:rPr>
        <w:t>отношению к ПАО «Газпром» в соответствии с Правилами независимости аудиторов и аудиторских организаций и Кодексом профессиональной этики аудиторов, соответствующими Международному кодексу этики профессиональных бухгалтеров (включая международные стандарты независимости), разработанному Советом по международным стандартам этики для профессиональных бухгалтеров.</w:t>
      </w:r>
    </w:p>
    <w:p w:rsidR="00A02ECF" w:rsidRDefault="006104A2">
      <w:pPr>
        <w:spacing w:before="120"/>
        <w:jc w:val="both"/>
        <w:rPr>
          <w:rStyle w:val="Subst"/>
        </w:rPr>
      </w:pPr>
      <w:r>
        <w:rPr>
          <w:rStyle w:val="Subst"/>
        </w:rPr>
        <w:t>В течение ряда лет до 2024 года ООО «ФБК» проходило внешнюю проверку качества выполнения заданий по аудиту ПАО «Газпром» со стороны Саморегулируемой организации аудиторов Ассоциации «Содружество».</w:t>
      </w:r>
    </w:p>
    <w:p w:rsidR="00A02ECF" w:rsidRDefault="006104A2">
      <w:pPr>
        <w:spacing w:before="120"/>
        <w:jc w:val="both"/>
        <w:rPr>
          <w:rStyle w:val="Subst"/>
        </w:rPr>
      </w:pPr>
      <w:r>
        <w:rPr>
          <w:rStyle w:val="Subst"/>
        </w:rPr>
        <w:t>Начиная с аудита отчетностей ПАО «Газпром», подготовленных за 2023 год, ООО «ФБК» привлекает надлежащее проверяющее лицо-аудитора для проверки качества выполнения аудиторского задания перед представлением аудиторского заключения по результатам аудита, в соответствии с</w:t>
      </w:r>
      <w:r>
        <w:rPr>
          <w:rStyle w:val="Subst"/>
          <w:lang w:val="en-US"/>
        </w:rPr>
        <w:t> </w:t>
      </w:r>
      <w:r>
        <w:rPr>
          <w:rStyle w:val="Subst"/>
        </w:rPr>
        <w:t>требованиями Правил независимости аудиторов и аудиторских организаций.</w:t>
      </w:r>
    </w:p>
    <w:p w:rsidR="00A02ECF" w:rsidRDefault="006104A2">
      <w:pPr>
        <w:spacing w:before="120"/>
        <w:jc w:val="both"/>
        <w:rPr>
          <w:rStyle w:val="Subst"/>
        </w:rPr>
      </w:pPr>
      <w:r>
        <w:rPr>
          <w:rStyle w:val="Subst"/>
        </w:rPr>
        <w:t>На регулярной основе ООО «ФБК» доводит до сведения Комитета Совета директоров ПАО «Газпром» по аудиту вопросы, связанные с соблюдением независимости и объективности.</w:t>
      </w:r>
    </w:p>
    <w:p w:rsidR="00A02ECF" w:rsidRDefault="00A02ECF"/>
    <w:p w:rsidR="00A02ECF" w:rsidRDefault="006104A2">
      <w:pPr>
        <w:pStyle w:val="SubHeading"/>
        <w:spacing w:before="0" w:after="0"/>
        <w:jc w:val="both"/>
      </w:pPr>
      <w:r>
        <w:t>Фактический размер вознаграждения, выплаченного эмитентом аудиторской организации за последний завершенный отчетный год, с отдельным указанием размера вознаграждения, выплаченного за аудит (проверку), в том числе обязательный, отчетности эмитента и за оказание сопутствующих аудиту и прочих связанных с аудиторской деятельностью услуг:</w:t>
      </w:r>
    </w:p>
    <w:p w:rsidR="00A02ECF" w:rsidRDefault="00A02ECF">
      <w:pPr>
        <w:pStyle w:val="SubHeading"/>
        <w:spacing w:before="0" w:after="0"/>
      </w:pPr>
    </w:p>
    <w:p w:rsidR="00A02ECF" w:rsidRDefault="006104A2">
      <w:pPr>
        <w:pStyle w:val="SubHeading"/>
        <w:spacing w:before="0" w:after="0"/>
      </w:pPr>
      <w:r>
        <w:t>Вознаграждения:</w:t>
      </w:r>
    </w:p>
    <w:p w:rsidR="00A02ECF" w:rsidRDefault="00A02ECF">
      <w:pPr>
        <w:spacing w:after="0"/>
      </w:pPr>
    </w:p>
    <w:p w:rsidR="00A02ECF" w:rsidRDefault="006104A2">
      <w:pPr>
        <w:spacing w:after="0"/>
      </w:pPr>
      <w:r>
        <w:t>Единица измерения:</w:t>
      </w:r>
      <w:r>
        <w:rPr>
          <w:rStyle w:val="Subst"/>
        </w:rPr>
        <w:t xml:space="preserve"> тыс. руб.</w:t>
      </w:r>
      <w:r>
        <w:rPr>
          <w:b/>
          <w:i/>
        </w:rPr>
        <w:t>, в том числе НДС</w:t>
      </w:r>
    </w:p>
    <w:p w:rsidR="00A02ECF" w:rsidRDefault="00A02ECF">
      <w:pPr>
        <w:pStyle w:val="ThinDelim"/>
        <w:rPr>
          <w:sz w:val="20"/>
          <w:szCs w:val="20"/>
        </w:rPr>
      </w:pPr>
    </w:p>
    <w:tbl>
      <w:tblPr>
        <w:tblW w:w="9072" w:type="dxa"/>
        <w:tblInd w:w="134" w:type="dxa"/>
        <w:tblLayout w:type="fixed"/>
        <w:tblCellMar>
          <w:left w:w="72" w:type="dxa"/>
          <w:right w:w="72" w:type="dxa"/>
        </w:tblCellMar>
        <w:tblLook w:val="04A0" w:firstRow="1" w:lastRow="0" w:firstColumn="1" w:lastColumn="0" w:noHBand="0" w:noVBand="1"/>
      </w:tblPr>
      <w:tblGrid>
        <w:gridCol w:w="6492"/>
        <w:gridCol w:w="2580"/>
      </w:tblGrid>
      <w:tr w:rsidR="00A02ECF">
        <w:trPr>
          <w:tblHeader/>
        </w:trPr>
        <w:tc>
          <w:tcPr>
            <w:tcW w:w="6492" w:type="dxa"/>
            <w:tcBorders>
              <w:top w:val="single" w:sz="6" w:space="0" w:color="000000"/>
              <w:left w:val="single" w:sz="6" w:space="0" w:color="000000"/>
              <w:bottom w:val="single" w:sz="6" w:space="0" w:color="000000"/>
              <w:right w:val="single" w:sz="6" w:space="0" w:color="000000"/>
            </w:tcBorders>
          </w:tcPr>
          <w:p w:rsidR="00A02ECF" w:rsidRDefault="006104A2">
            <w:pPr>
              <w:jc w:val="center"/>
            </w:pPr>
            <w:r>
              <w:t>Наименование показателя</w:t>
            </w:r>
          </w:p>
        </w:tc>
        <w:tc>
          <w:tcPr>
            <w:tcW w:w="2580" w:type="dxa"/>
            <w:tcBorders>
              <w:top w:val="single" w:sz="6" w:space="0" w:color="000000"/>
              <w:left w:val="single" w:sz="6" w:space="0" w:color="000000"/>
              <w:bottom w:val="single" w:sz="6" w:space="0" w:color="000000"/>
              <w:right w:val="single" w:sz="6" w:space="0" w:color="000000"/>
            </w:tcBorders>
          </w:tcPr>
          <w:p w:rsidR="00A02ECF" w:rsidRDefault="006104A2">
            <w:pPr>
              <w:jc w:val="center"/>
              <w:rPr>
                <w:bCs/>
              </w:rPr>
            </w:pPr>
            <w:r>
              <w:rPr>
                <w:bCs/>
              </w:rPr>
              <w:t>202</w:t>
            </w:r>
            <w:r>
              <w:rPr>
                <w:bCs/>
                <w:lang w:val="en-US"/>
              </w:rPr>
              <w:t>5</w:t>
            </w:r>
            <w:r>
              <w:rPr>
                <w:bCs/>
              </w:rPr>
              <w:t xml:space="preserve"> г.</w:t>
            </w:r>
          </w:p>
        </w:tc>
      </w:tr>
      <w:tr w:rsidR="00A02ECF">
        <w:tc>
          <w:tcPr>
            <w:tcW w:w="6492" w:type="dxa"/>
            <w:tcBorders>
              <w:top w:val="single" w:sz="6" w:space="0" w:color="000000"/>
              <w:left w:val="single" w:sz="6" w:space="0" w:color="000000"/>
              <w:bottom w:val="single" w:sz="6" w:space="0" w:color="000000"/>
              <w:right w:val="single" w:sz="6" w:space="0" w:color="000000"/>
            </w:tcBorders>
          </w:tcPr>
          <w:p w:rsidR="00A02ECF" w:rsidRDefault="006104A2">
            <w:r>
              <w:t>Вознаграждение, выплаченное за аудит (проверку), в том числе обязательный, отчетности эмитента</w:t>
            </w:r>
          </w:p>
        </w:tc>
        <w:tc>
          <w:tcPr>
            <w:tcW w:w="2580" w:type="dxa"/>
            <w:tcBorders>
              <w:top w:val="single" w:sz="6" w:space="0" w:color="000000"/>
              <w:left w:val="single" w:sz="6" w:space="0" w:color="000000"/>
              <w:bottom w:val="single" w:sz="6" w:space="0" w:color="000000"/>
              <w:right w:val="single" w:sz="6" w:space="0" w:color="000000"/>
            </w:tcBorders>
          </w:tcPr>
          <w:p w:rsidR="00A02ECF" w:rsidRDefault="006104A2">
            <w:pPr>
              <w:jc w:val="right"/>
            </w:pPr>
            <w:r>
              <w:rPr>
                <w:rFonts w:eastAsia="Calibri"/>
                <w:color w:val="000000"/>
              </w:rPr>
              <w:t>259 950</w:t>
            </w:r>
          </w:p>
        </w:tc>
      </w:tr>
      <w:tr w:rsidR="00A02ECF">
        <w:tc>
          <w:tcPr>
            <w:tcW w:w="6492" w:type="dxa"/>
            <w:tcBorders>
              <w:top w:val="single" w:sz="6" w:space="0" w:color="000000"/>
              <w:left w:val="single" w:sz="6" w:space="0" w:color="000000"/>
              <w:bottom w:val="single" w:sz="6" w:space="0" w:color="000000"/>
              <w:right w:val="single" w:sz="6" w:space="0" w:color="000000"/>
            </w:tcBorders>
          </w:tcPr>
          <w:p w:rsidR="00A02ECF" w:rsidRDefault="006104A2">
            <w:r>
              <w:t xml:space="preserve">Вознаграждение, выплаченное за оказание сопутствующих аудиту и прочих связанных с аудиторской деятельностью услуг </w:t>
            </w:r>
          </w:p>
        </w:tc>
        <w:tc>
          <w:tcPr>
            <w:tcW w:w="2580" w:type="dxa"/>
            <w:tcBorders>
              <w:top w:val="single" w:sz="6" w:space="0" w:color="000000"/>
              <w:left w:val="single" w:sz="6" w:space="0" w:color="000000"/>
              <w:bottom w:val="single" w:sz="6" w:space="0" w:color="000000"/>
              <w:right w:val="single" w:sz="6" w:space="0" w:color="000000"/>
            </w:tcBorders>
          </w:tcPr>
          <w:p w:rsidR="00A02ECF" w:rsidRDefault="006104A2">
            <w:pPr>
              <w:jc w:val="right"/>
            </w:pPr>
            <w:r>
              <w:rPr>
                <w:rFonts w:eastAsia="Calibri"/>
                <w:color w:val="000000"/>
              </w:rPr>
              <w:t>22 500</w:t>
            </w:r>
          </w:p>
        </w:tc>
      </w:tr>
      <w:tr w:rsidR="00A02ECF">
        <w:tc>
          <w:tcPr>
            <w:tcW w:w="6492" w:type="dxa"/>
            <w:tcBorders>
              <w:top w:val="single" w:sz="6" w:space="0" w:color="000000"/>
              <w:left w:val="single" w:sz="6" w:space="0" w:color="000000"/>
              <w:bottom w:val="single" w:sz="6" w:space="0" w:color="000000"/>
              <w:right w:val="single" w:sz="6" w:space="0" w:color="000000"/>
            </w:tcBorders>
          </w:tcPr>
          <w:p w:rsidR="00A02ECF" w:rsidRDefault="006104A2">
            <w:r>
              <w:t>ИТОГО</w:t>
            </w:r>
          </w:p>
        </w:tc>
        <w:tc>
          <w:tcPr>
            <w:tcW w:w="2580" w:type="dxa"/>
            <w:tcBorders>
              <w:top w:val="single" w:sz="6" w:space="0" w:color="000000"/>
              <w:left w:val="single" w:sz="6" w:space="0" w:color="000000"/>
              <w:bottom w:val="single" w:sz="6" w:space="0" w:color="000000"/>
              <w:right w:val="single" w:sz="6" w:space="0" w:color="000000"/>
            </w:tcBorders>
          </w:tcPr>
          <w:p w:rsidR="00A02ECF" w:rsidRDefault="006104A2">
            <w:pPr>
              <w:jc w:val="right"/>
              <w:rPr>
                <w:b/>
                <w:bCs/>
                <w:lang w:val="en-US"/>
              </w:rPr>
            </w:pPr>
            <w:r>
              <w:rPr>
                <w:rFonts w:eastAsia="Calibri"/>
                <w:b/>
                <w:bCs/>
                <w:color w:val="000000"/>
              </w:rPr>
              <w:t>282 450</w:t>
            </w:r>
          </w:p>
        </w:tc>
      </w:tr>
    </w:tbl>
    <w:p w:rsidR="00A02ECF" w:rsidRDefault="00A02ECF">
      <w:pPr>
        <w:spacing w:before="60"/>
        <w:jc w:val="both"/>
        <w:rPr>
          <w:b/>
          <w:bCs/>
          <w:i/>
          <w:iCs/>
        </w:rPr>
      </w:pPr>
    </w:p>
    <w:p w:rsidR="00A02ECF" w:rsidRDefault="006104A2">
      <w:pPr>
        <w:spacing w:before="120" w:after="120"/>
        <w:jc w:val="both"/>
      </w:pPr>
      <w:r>
        <w:lastRenderedPageBreak/>
        <w:t>Размер вознаграждения за оказанные аудиторской организацией эмитента услуги, выплата которого отложена или просрочена эмитентом, с отдельным указанием отложенного или просроченного вознаграждения за аудит (проверку), в том числе обязательный, отчетности эмитента и за оказание сопутствующих аудиту и прочих связанных с аудиторской деятельностью услуг:</w:t>
      </w:r>
    </w:p>
    <w:p w:rsidR="00A02ECF" w:rsidRDefault="006104A2">
      <w:pPr>
        <w:spacing w:before="120" w:after="120"/>
        <w:ind w:firstLine="346"/>
        <w:jc w:val="both"/>
      </w:pPr>
      <w:r>
        <w:t>Единица измерения:</w:t>
      </w:r>
      <w:r>
        <w:rPr>
          <w:rStyle w:val="Subst"/>
        </w:rPr>
        <w:t xml:space="preserve"> тыс. руб.</w:t>
      </w:r>
      <w:r>
        <w:rPr>
          <w:b/>
          <w:i/>
        </w:rPr>
        <w:t>, в том числе НДС</w:t>
      </w:r>
    </w:p>
    <w:tbl>
      <w:tblPr>
        <w:tblW w:w="9072" w:type="dxa"/>
        <w:tblInd w:w="134" w:type="dxa"/>
        <w:tblLayout w:type="fixed"/>
        <w:tblCellMar>
          <w:left w:w="72" w:type="dxa"/>
          <w:right w:w="72" w:type="dxa"/>
        </w:tblCellMar>
        <w:tblLook w:val="04A0" w:firstRow="1" w:lastRow="0" w:firstColumn="1" w:lastColumn="0" w:noHBand="0" w:noVBand="1"/>
      </w:tblPr>
      <w:tblGrid>
        <w:gridCol w:w="5931"/>
        <w:gridCol w:w="1582"/>
        <w:gridCol w:w="1559"/>
      </w:tblGrid>
      <w:tr w:rsidR="00A02ECF">
        <w:tc>
          <w:tcPr>
            <w:tcW w:w="5931" w:type="dxa"/>
            <w:tcBorders>
              <w:top w:val="single" w:sz="6" w:space="0" w:color="000000"/>
              <w:left w:val="single" w:sz="6" w:space="0" w:color="000000"/>
              <w:bottom w:val="single" w:sz="6" w:space="0" w:color="000000"/>
              <w:right w:val="single" w:sz="6" w:space="0" w:color="000000"/>
            </w:tcBorders>
          </w:tcPr>
          <w:p w:rsidR="00A02ECF" w:rsidRDefault="006104A2">
            <w:pPr>
              <w:jc w:val="center"/>
            </w:pPr>
            <w:r>
              <w:t>Наименование показателя</w:t>
            </w:r>
          </w:p>
        </w:tc>
        <w:tc>
          <w:tcPr>
            <w:tcW w:w="1582" w:type="dxa"/>
            <w:tcBorders>
              <w:top w:val="single" w:sz="6" w:space="0" w:color="000000"/>
              <w:left w:val="single" w:sz="6" w:space="0" w:color="000000"/>
              <w:bottom w:val="single" w:sz="6" w:space="0" w:color="000000"/>
              <w:right w:val="single" w:sz="6" w:space="0" w:color="000000"/>
            </w:tcBorders>
          </w:tcPr>
          <w:p w:rsidR="00A02ECF" w:rsidRDefault="006104A2">
            <w:pPr>
              <w:jc w:val="center"/>
            </w:pPr>
            <w:r>
              <w:t>Выплата которого отложена эмитентом</w:t>
            </w:r>
          </w:p>
        </w:tc>
        <w:tc>
          <w:tcPr>
            <w:tcW w:w="1559" w:type="dxa"/>
            <w:tcBorders>
              <w:top w:val="single" w:sz="6" w:space="0" w:color="000000"/>
              <w:left w:val="single" w:sz="6" w:space="0" w:color="000000"/>
              <w:bottom w:val="single" w:sz="6" w:space="0" w:color="000000"/>
              <w:right w:val="single" w:sz="6" w:space="0" w:color="000000"/>
            </w:tcBorders>
          </w:tcPr>
          <w:p w:rsidR="00A02ECF" w:rsidRDefault="006104A2">
            <w:pPr>
              <w:jc w:val="center"/>
            </w:pPr>
            <w:r>
              <w:t>Выплата которого просрочена эмитентом</w:t>
            </w:r>
          </w:p>
        </w:tc>
      </w:tr>
      <w:tr w:rsidR="00A02ECF">
        <w:tc>
          <w:tcPr>
            <w:tcW w:w="5931" w:type="dxa"/>
            <w:tcBorders>
              <w:top w:val="single" w:sz="6" w:space="0" w:color="000000"/>
              <w:left w:val="single" w:sz="6" w:space="0" w:color="000000"/>
              <w:bottom w:val="single" w:sz="6" w:space="0" w:color="000000"/>
              <w:right w:val="single" w:sz="6" w:space="0" w:color="000000"/>
            </w:tcBorders>
          </w:tcPr>
          <w:p w:rsidR="00A02ECF" w:rsidRDefault="006104A2">
            <w:r>
              <w:t>Вознаграждение за аудит (проверку), в том числе обязательный, отчетности эмитента</w:t>
            </w:r>
          </w:p>
        </w:tc>
        <w:tc>
          <w:tcPr>
            <w:tcW w:w="1582" w:type="dxa"/>
            <w:tcBorders>
              <w:top w:val="single" w:sz="6" w:space="0" w:color="000000"/>
              <w:left w:val="single" w:sz="6" w:space="0" w:color="000000"/>
              <w:bottom w:val="single" w:sz="6" w:space="0" w:color="000000"/>
              <w:right w:val="single" w:sz="6" w:space="0" w:color="000000"/>
            </w:tcBorders>
          </w:tcPr>
          <w:p w:rsidR="00A02ECF" w:rsidRDefault="006104A2">
            <w:pPr>
              <w:jc w:val="right"/>
            </w:pPr>
            <w:r>
              <w:rPr>
                <w:rFonts w:eastAsia="Calibri"/>
                <w:b/>
                <w:bCs/>
                <w:color w:val="000000"/>
              </w:rPr>
              <w:t>-</w:t>
            </w:r>
          </w:p>
        </w:tc>
        <w:tc>
          <w:tcPr>
            <w:tcW w:w="1559" w:type="dxa"/>
            <w:tcBorders>
              <w:top w:val="single" w:sz="6" w:space="0" w:color="000000"/>
              <w:left w:val="single" w:sz="6" w:space="0" w:color="000000"/>
              <w:bottom w:val="single" w:sz="6" w:space="0" w:color="000000"/>
              <w:right w:val="single" w:sz="6" w:space="0" w:color="000000"/>
            </w:tcBorders>
          </w:tcPr>
          <w:p w:rsidR="00A02ECF" w:rsidRDefault="006104A2">
            <w:pPr>
              <w:jc w:val="right"/>
            </w:pPr>
            <w:r>
              <w:rPr>
                <w:rFonts w:eastAsia="Calibri"/>
                <w:b/>
                <w:bCs/>
                <w:color w:val="000000"/>
              </w:rPr>
              <w:t>-</w:t>
            </w:r>
          </w:p>
        </w:tc>
      </w:tr>
      <w:tr w:rsidR="00A02ECF">
        <w:tc>
          <w:tcPr>
            <w:tcW w:w="5931" w:type="dxa"/>
            <w:tcBorders>
              <w:top w:val="single" w:sz="6" w:space="0" w:color="000000"/>
              <w:left w:val="single" w:sz="6" w:space="0" w:color="000000"/>
              <w:bottom w:val="single" w:sz="6" w:space="0" w:color="000000"/>
              <w:right w:val="single" w:sz="6" w:space="0" w:color="000000"/>
            </w:tcBorders>
          </w:tcPr>
          <w:p w:rsidR="00A02ECF" w:rsidRDefault="006104A2">
            <w:r>
              <w:t xml:space="preserve">Вознаграждение за оказание сопутствующих аудиту и прочих связанных с аудиторской деятельностью услуг </w:t>
            </w:r>
          </w:p>
        </w:tc>
        <w:tc>
          <w:tcPr>
            <w:tcW w:w="1582" w:type="dxa"/>
            <w:tcBorders>
              <w:top w:val="single" w:sz="6" w:space="0" w:color="000000"/>
              <w:left w:val="single" w:sz="6" w:space="0" w:color="000000"/>
              <w:bottom w:val="single" w:sz="6" w:space="0" w:color="000000"/>
              <w:right w:val="single" w:sz="6" w:space="0" w:color="000000"/>
            </w:tcBorders>
          </w:tcPr>
          <w:p w:rsidR="00A02ECF" w:rsidRDefault="006104A2">
            <w:pPr>
              <w:jc w:val="right"/>
            </w:pPr>
            <w:r>
              <w:rPr>
                <w:rFonts w:eastAsia="Calibri"/>
                <w:b/>
                <w:bCs/>
                <w:color w:val="000000"/>
              </w:rPr>
              <w:t>-</w:t>
            </w:r>
          </w:p>
        </w:tc>
        <w:tc>
          <w:tcPr>
            <w:tcW w:w="1559" w:type="dxa"/>
            <w:tcBorders>
              <w:top w:val="single" w:sz="6" w:space="0" w:color="000000"/>
              <w:left w:val="single" w:sz="6" w:space="0" w:color="000000"/>
              <w:bottom w:val="single" w:sz="6" w:space="0" w:color="000000"/>
              <w:right w:val="single" w:sz="6" w:space="0" w:color="000000"/>
            </w:tcBorders>
          </w:tcPr>
          <w:p w:rsidR="00A02ECF" w:rsidRDefault="006104A2">
            <w:pPr>
              <w:jc w:val="right"/>
            </w:pPr>
            <w:r>
              <w:rPr>
                <w:rFonts w:eastAsia="Calibri"/>
                <w:b/>
                <w:bCs/>
                <w:color w:val="000000"/>
              </w:rPr>
              <w:t>-</w:t>
            </w:r>
          </w:p>
        </w:tc>
      </w:tr>
      <w:tr w:rsidR="00A02ECF">
        <w:tc>
          <w:tcPr>
            <w:tcW w:w="5931" w:type="dxa"/>
            <w:tcBorders>
              <w:top w:val="single" w:sz="6" w:space="0" w:color="000000"/>
              <w:left w:val="single" w:sz="6" w:space="0" w:color="000000"/>
              <w:bottom w:val="single" w:sz="6" w:space="0" w:color="000000"/>
              <w:right w:val="single" w:sz="6" w:space="0" w:color="000000"/>
            </w:tcBorders>
          </w:tcPr>
          <w:p w:rsidR="00A02ECF" w:rsidRDefault="006104A2">
            <w:r>
              <w:t>ИТОГО</w:t>
            </w:r>
          </w:p>
        </w:tc>
        <w:tc>
          <w:tcPr>
            <w:tcW w:w="1582" w:type="dxa"/>
            <w:tcBorders>
              <w:top w:val="single" w:sz="6" w:space="0" w:color="000000"/>
              <w:left w:val="single" w:sz="6" w:space="0" w:color="000000"/>
              <w:bottom w:val="single" w:sz="6" w:space="0" w:color="000000"/>
              <w:right w:val="single" w:sz="6" w:space="0" w:color="000000"/>
            </w:tcBorders>
          </w:tcPr>
          <w:p w:rsidR="00A02ECF" w:rsidRDefault="006104A2">
            <w:pPr>
              <w:jc w:val="right"/>
            </w:pPr>
            <w:r>
              <w:rPr>
                <w:rFonts w:eastAsia="Calibri"/>
                <w:b/>
                <w:bCs/>
                <w:color w:val="000000"/>
              </w:rPr>
              <w:t>-</w:t>
            </w:r>
          </w:p>
        </w:tc>
        <w:tc>
          <w:tcPr>
            <w:tcW w:w="1559" w:type="dxa"/>
            <w:tcBorders>
              <w:top w:val="single" w:sz="6" w:space="0" w:color="000000"/>
              <w:left w:val="single" w:sz="6" w:space="0" w:color="000000"/>
              <w:bottom w:val="single" w:sz="6" w:space="0" w:color="000000"/>
              <w:right w:val="single" w:sz="6" w:space="0" w:color="000000"/>
            </w:tcBorders>
          </w:tcPr>
          <w:p w:rsidR="00A02ECF" w:rsidRDefault="006104A2">
            <w:pPr>
              <w:jc w:val="right"/>
            </w:pPr>
            <w:r>
              <w:rPr>
                <w:rFonts w:eastAsia="Calibri"/>
                <w:b/>
                <w:bCs/>
                <w:color w:val="000000"/>
              </w:rPr>
              <w:t>-</w:t>
            </w:r>
          </w:p>
        </w:tc>
      </w:tr>
    </w:tbl>
    <w:p w:rsidR="00A02ECF" w:rsidRDefault="00A02ECF">
      <w:pPr>
        <w:pStyle w:val="ThinDelim"/>
        <w:rPr>
          <w:sz w:val="20"/>
          <w:szCs w:val="20"/>
        </w:rPr>
      </w:pPr>
    </w:p>
    <w:p w:rsidR="00A02ECF" w:rsidRDefault="006104A2">
      <w:pPr>
        <w:jc w:val="both"/>
      </w:pPr>
      <w:r>
        <w:t>Фактический размер вознаграждения, выплаченного эмитентом и подконтрольными эмитенту организациями, имеющими для него существенное значение, аудиторской организации, которая проводила проверку консолидированной финансовой отчетности эмитента, за аудит (проверку), в том числе обязательный, консолидированной финансовой отчетности эмитента за последний завершенный отчетный год и за оказание сопутствующих аудиту и прочих связанных с аудиторской деятельностью услуг:</w:t>
      </w:r>
    </w:p>
    <w:p w:rsidR="00A02ECF" w:rsidRDefault="00A02ECF">
      <w:pPr>
        <w:spacing w:before="120" w:after="120"/>
        <w:jc w:val="both"/>
      </w:pPr>
    </w:p>
    <w:p w:rsidR="00A02ECF" w:rsidRDefault="006104A2">
      <w:pPr>
        <w:spacing w:before="120" w:after="120"/>
        <w:jc w:val="both"/>
      </w:pPr>
      <w:r>
        <w:t>Единица измерения:</w:t>
      </w:r>
      <w:r>
        <w:rPr>
          <w:rStyle w:val="Subst"/>
        </w:rPr>
        <w:t xml:space="preserve"> тыс. руб.</w:t>
      </w:r>
      <w:r>
        <w:rPr>
          <w:b/>
          <w:i/>
        </w:rPr>
        <w:t>, в том числе НДС</w:t>
      </w:r>
    </w:p>
    <w:tbl>
      <w:tblPr>
        <w:tblW w:w="9072" w:type="dxa"/>
        <w:tblInd w:w="134" w:type="dxa"/>
        <w:tblLayout w:type="fixed"/>
        <w:tblCellMar>
          <w:left w:w="72" w:type="dxa"/>
          <w:right w:w="72" w:type="dxa"/>
        </w:tblCellMar>
        <w:tblLook w:val="04A0" w:firstRow="1" w:lastRow="0" w:firstColumn="1" w:lastColumn="0" w:noHBand="0" w:noVBand="1"/>
      </w:tblPr>
      <w:tblGrid>
        <w:gridCol w:w="6492"/>
        <w:gridCol w:w="2580"/>
      </w:tblGrid>
      <w:tr w:rsidR="00A02ECF">
        <w:trPr>
          <w:tblHeader/>
        </w:trPr>
        <w:tc>
          <w:tcPr>
            <w:tcW w:w="6492" w:type="dxa"/>
            <w:tcBorders>
              <w:top w:val="single" w:sz="6" w:space="0" w:color="000000"/>
              <w:left w:val="single" w:sz="6" w:space="0" w:color="000000"/>
              <w:bottom w:val="single" w:sz="6" w:space="0" w:color="000000"/>
              <w:right w:val="single" w:sz="6" w:space="0" w:color="000000"/>
            </w:tcBorders>
          </w:tcPr>
          <w:p w:rsidR="00A02ECF" w:rsidRDefault="006104A2">
            <w:pPr>
              <w:jc w:val="center"/>
            </w:pPr>
            <w:r>
              <w:t>Наименование показателя</w:t>
            </w:r>
          </w:p>
        </w:tc>
        <w:tc>
          <w:tcPr>
            <w:tcW w:w="2580" w:type="dxa"/>
            <w:tcBorders>
              <w:top w:val="single" w:sz="6" w:space="0" w:color="000000"/>
              <w:left w:val="single" w:sz="6" w:space="0" w:color="000000"/>
              <w:bottom w:val="single" w:sz="6" w:space="0" w:color="000000"/>
              <w:right w:val="single" w:sz="6" w:space="0" w:color="000000"/>
            </w:tcBorders>
          </w:tcPr>
          <w:p w:rsidR="00A02ECF" w:rsidRDefault="006104A2">
            <w:pPr>
              <w:jc w:val="center"/>
              <w:rPr>
                <w:bCs/>
              </w:rPr>
            </w:pPr>
            <w:r>
              <w:rPr>
                <w:bCs/>
              </w:rPr>
              <w:t>202</w:t>
            </w:r>
            <w:r>
              <w:rPr>
                <w:bCs/>
                <w:lang w:val="en-US"/>
              </w:rPr>
              <w:t>5</w:t>
            </w:r>
            <w:r>
              <w:rPr>
                <w:bCs/>
              </w:rPr>
              <w:t xml:space="preserve"> г.</w:t>
            </w:r>
          </w:p>
        </w:tc>
      </w:tr>
      <w:tr w:rsidR="00A02ECF">
        <w:tc>
          <w:tcPr>
            <w:tcW w:w="6492" w:type="dxa"/>
            <w:tcBorders>
              <w:top w:val="single" w:sz="6" w:space="0" w:color="000000"/>
              <w:left w:val="single" w:sz="6" w:space="0" w:color="000000"/>
              <w:bottom w:val="single" w:sz="6" w:space="0" w:color="000000"/>
              <w:right w:val="single" w:sz="6" w:space="0" w:color="000000"/>
            </w:tcBorders>
          </w:tcPr>
          <w:p w:rsidR="00A02ECF" w:rsidRDefault="006104A2">
            <w:r>
              <w:t>Вознаграждение, выплаченное эмитентом и подконтрольными эмитенту организациями, имеющими для него существенное значение, аудиторской организации, которая проводила проверку консолидированной финансовой отчетности эмитента, в том числе:</w:t>
            </w:r>
          </w:p>
        </w:tc>
        <w:tc>
          <w:tcPr>
            <w:tcW w:w="2580" w:type="dxa"/>
            <w:tcBorders>
              <w:top w:val="single" w:sz="6" w:space="0" w:color="000000"/>
              <w:left w:val="single" w:sz="6" w:space="0" w:color="000000"/>
              <w:bottom w:val="single" w:sz="6" w:space="0" w:color="000000"/>
              <w:right w:val="single" w:sz="6" w:space="0" w:color="000000"/>
            </w:tcBorders>
          </w:tcPr>
          <w:p w:rsidR="00A02ECF" w:rsidRDefault="006104A2">
            <w:pPr>
              <w:jc w:val="right"/>
              <w:rPr>
                <w:b/>
                <w:bCs/>
              </w:rPr>
            </w:pPr>
            <w:r>
              <w:rPr>
                <w:rFonts w:eastAsia="Calibri"/>
                <w:b/>
                <w:bCs/>
                <w:color w:val="000000"/>
              </w:rPr>
              <w:t xml:space="preserve">315 304 </w:t>
            </w:r>
          </w:p>
        </w:tc>
      </w:tr>
      <w:tr w:rsidR="00A02ECF">
        <w:tc>
          <w:tcPr>
            <w:tcW w:w="6492" w:type="dxa"/>
            <w:tcBorders>
              <w:top w:val="single" w:sz="6" w:space="0" w:color="000000"/>
              <w:left w:val="single" w:sz="6" w:space="0" w:color="000000"/>
              <w:bottom w:val="single" w:sz="6" w:space="0" w:color="000000"/>
              <w:right w:val="single" w:sz="6" w:space="0" w:color="000000"/>
            </w:tcBorders>
          </w:tcPr>
          <w:p w:rsidR="00A02ECF" w:rsidRDefault="006104A2">
            <w:r>
              <w:t>Вознаграждение, выплаченное за аудит (проверку), в том числе обязательный, консолидированной финансовой отчетности эмитента</w:t>
            </w:r>
          </w:p>
        </w:tc>
        <w:tc>
          <w:tcPr>
            <w:tcW w:w="2580" w:type="dxa"/>
            <w:tcBorders>
              <w:top w:val="single" w:sz="6" w:space="0" w:color="000000"/>
              <w:left w:val="single" w:sz="6" w:space="0" w:color="000000"/>
              <w:bottom w:val="single" w:sz="6" w:space="0" w:color="000000"/>
              <w:right w:val="single" w:sz="6" w:space="0" w:color="000000"/>
            </w:tcBorders>
          </w:tcPr>
          <w:p w:rsidR="00A02ECF" w:rsidRDefault="006104A2">
            <w:pPr>
              <w:jc w:val="right"/>
            </w:pPr>
            <w:r>
              <w:rPr>
                <w:rFonts w:eastAsia="Calibri"/>
                <w:color w:val="000000"/>
              </w:rPr>
              <w:t>290 308</w:t>
            </w:r>
          </w:p>
        </w:tc>
      </w:tr>
      <w:tr w:rsidR="00A02ECF">
        <w:tc>
          <w:tcPr>
            <w:tcW w:w="6492" w:type="dxa"/>
            <w:tcBorders>
              <w:top w:val="single" w:sz="6" w:space="0" w:color="000000"/>
              <w:left w:val="single" w:sz="6" w:space="0" w:color="000000"/>
              <w:bottom w:val="single" w:sz="4" w:space="0" w:color="000000"/>
              <w:right w:val="single" w:sz="6" w:space="0" w:color="000000"/>
            </w:tcBorders>
          </w:tcPr>
          <w:p w:rsidR="00A02ECF" w:rsidRDefault="006104A2">
            <w:r>
              <w:t>Вознаграждение за оказание сопутствующих аудиту и прочих связанных с аудиторской деятельностью услуг</w:t>
            </w:r>
          </w:p>
        </w:tc>
        <w:tc>
          <w:tcPr>
            <w:tcW w:w="2580" w:type="dxa"/>
            <w:tcBorders>
              <w:top w:val="single" w:sz="6" w:space="0" w:color="000000"/>
              <w:left w:val="single" w:sz="6" w:space="0" w:color="000000"/>
              <w:bottom w:val="single" w:sz="4" w:space="0" w:color="000000"/>
              <w:right w:val="single" w:sz="6" w:space="0" w:color="000000"/>
            </w:tcBorders>
          </w:tcPr>
          <w:p w:rsidR="00A02ECF" w:rsidRDefault="006104A2">
            <w:pPr>
              <w:jc w:val="right"/>
            </w:pPr>
            <w:r>
              <w:rPr>
                <w:rFonts w:eastAsia="Calibri"/>
                <w:color w:val="000000"/>
              </w:rPr>
              <w:t>24 996</w:t>
            </w:r>
          </w:p>
        </w:tc>
      </w:tr>
    </w:tbl>
    <w:p w:rsidR="00A02ECF" w:rsidRDefault="00A02ECF">
      <w:pPr>
        <w:pStyle w:val="SubHeading"/>
        <w:spacing w:before="0" w:after="0"/>
        <w:jc w:val="both"/>
      </w:pPr>
    </w:p>
    <w:p w:rsidR="00A02ECF" w:rsidRDefault="006104A2">
      <w:pPr>
        <w:pStyle w:val="SubHeading"/>
        <w:spacing w:before="0" w:after="0"/>
        <w:jc w:val="both"/>
      </w:pPr>
      <w:r>
        <w:t>Порядок выбора аудиторской организации эмитента:</w:t>
      </w:r>
    </w:p>
    <w:p w:rsidR="00A02ECF" w:rsidRDefault="006104A2">
      <w:pPr>
        <w:jc w:val="both"/>
      </w:pPr>
      <w:r>
        <w:t>Наличие процедуры конкурса, связанного с выбором аудиторской организации, и его основные условия:</w:t>
      </w:r>
    </w:p>
    <w:p w:rsidR="00A02ECF" w:rsidRDefault="006104A2">
      <w:pPr>
        <w:spacing w:before="120"/>
        <w:jc w:val="both"/>
        <w:rPr>
          <w:b/>
          <w:bCs/>
          <w:i/>
          <w:iCs/>
        </w:rPr>
      </w:pPr>
      <w:r>
        <w:rPr>
          <w:b/>
          <w:bCs/>
          <w:i/>
          <w:iCs/>
        </w:rPr>
        <w:t>На основании Федерального закона от 30 декабря 2008 г. № 307-ФЗ «Об аудиторской деятельности» и</w:t>
      </w:r>
      <w:r>
        <w:rPr>
          <w:b/>
          <w:bCs/>
          <w:i/>
          <w:iCs/>
          <w:lang w:val="en-US"/>
        </w:rPr>
        <w:t> </w:t>
      </w:r>
      <w:r>
        <w:rPr>
          <w:b/>
          <w:bCs/>
          <w:i/>
          <w:iCs/>
        </w:rPr>
        <w:t>конкурсных документов, разработанных в соответствии с Федеральным законом от 05 апреля 2013 г. № 44-ФЗ «О контрактной системе в сфере закупок товаров, работ, услуг для</w:t>
      </w:r>
      <w:r>
        <w:rPr>
          <w:b/>
          <w:bCs/>
          <w:i/>
          <w:iCs/>
          <w:lang w:val="en-US"/>
        </w:rPr>
        <w:t> </w:t>
      </w:r>
      <w:r>
        <w:rPr>
          <w:b/>
          <w:bCs/>
          <w:i/>
          <w:iCs/>
        </w:rPr>
        <w:t>обеспечения государственных и муниципальных нужд» (далее – Закон № 44-ФЗ) проводится открытый конкурс в электронной форме по отбору аудиторских организаций для осуществления обязательного ежегодного аудита ПАО «Газпром».</w:t>
      </w:r>
    </w:p>
    <w:p w:rsidR="00A02ECF" w:rsidRDefault="006104A2">
      <w:pPr>
        <w:spacing w:before="120"/>
        <w:jc w:val="both"/>
        <w:rPr>
          <w:b/>
          <w:bCs/>
          <w:i/>
          <w:iCs/>
        </w:rPr>
      </w:pPr>
      <w:r>
        <w:rPr>
          <w:b/>
          <w:bCs/>
          <w:i/>
          <w:iCs/>
        </w:rPr>
        <w:t xml:space="preserve">25 января 2023 г. был объявлен открытый конкурс в электронной форме на право заключения договора об оказании услуг по аудиту бухгалтерской (финансовой) отчетности ПАО «Газпром», сводной бухгалтерской отчетности Группы Газпром и консолидированной финансовой отчетности Группы Газпром, подготовленной в соответствии со стандартами финансовой отчетности МСФО, за 2023-2025 годы. </w:t>
      </w:r>
    </w:p>
    <w:p w:rsidR="00A02ECF" w:rsidRDefault="006104A2">
      <w:pPr>
        <w:spacing w:before="120"/>
        <w:jc w:val="both"/>
        <w:rPr>
          <w:b/>
          <w:bCs/>
          <w:i/>
          <w:iCs/>
        </w:rPr>
      </w:pPr>
      <w:r>
        <w:rPr>
          <w:b/>
          <w:bCs/>
          <w:i/>
          <w:iCs/>
        </w:rPr>
        <w:t>При формировании конкурсной документации для проведения указанного открытого конкурса в электронной форме также было использовано Постановление Правительства от 31.12.2021 № 2604 «Об оценке заявок на участие в закупке товаров, работ, услуг для обеспечения государственных и</w:t>
      </w:r>
      <w:r>
        <w:rPr>
          <w:b/>
          <w:bCs/>
          <w:i/>
          <w:iCs/>
          <w:lang w:val="en-US"/>
        </w:rPr>
        <w:t> </w:t>
      </w:r>
      <w:r>
        <w:rPr>
          <w:b/>
          <w:bCs/>
          <w:i/>
          <w:iCs/>
        </w:rPr>
        <w:t xml:space="preserve">муниципальных нужд». </w:t>
      </w:r>
    </w:p>
    <w:p w:rsidR="00A02ECF" w:rsidRDefault="006104A2">
      <w:pPr>
        <w:tabs>
          <w:tab w:val="left" w:pos="900"/>
        </w:tabs>
        <w:spacing w:before="120"/>
        <w:jc w:val="both"/>
        <w:rPr>
          <w:b/>
          <w:bCs/>
          <w:i/>
          <w:iCs/>
        </w:rPr>
      </w:pPr>
      <w:r>
        <w:rPr>
          <w:b/>
          <w:bCs/>
          <w:i/>
          <w:iCs/>
        </w:rPr>
        <w:t>Основные требования к участникам конкурса:</w:t>
      </w:r>
    </w:p>
    <w:p w:rsidR="00A02ECF" w:rsidRDefault="006104A2">
      <w:pPr>
        <w:widowControl/>
        <w:numPr>
          <w:ilvl w:val="0"/>
          <w:numId w:val="25"/>
        </w:numPr>
        <w:tabs>
          <w:tab w:val="left" w:pos="709"/>
        </w:tabs>
        <w:spacing w:before="40" w:after="20"/>
        <w:ind w:left="709"/>
        <w:jc w:val="both"/>
        <w:rPr>
          <w:b/>
          <w:bCs/>
          <w:i/>
          <w:iCs/>
        </w:rPr>
      </w:pPr>
      <w:r>
        <w:rPr>
          <w:b/>
          <w:bCs/>
          <w:i/>
          <w:iCs/>
        </w:rPr>
        <w:t>соответствие требованиям, предусмотренным статьей 31 Закона № 44-ФЗ;</w:t>
      </w:r>
    </w:p>
    <w:p w:rsidR="00A02ECF" w:rsidRDefault="006104A2">
      <w:pPr>
        <w:widowControl/>
        <w:numPr>
          <w:ilvl w:val="0"/>
          <w:numId w:val="25"/>
        </w:numPr>
        <w:tabs>
          <w:tab w:val="left" w:pos="709"/>
        </w:tabs>
        <w:spacing w:before="40" w:after="20"/>
        <w:ind w:left="709"/>
        <w:jc w:val="both"/>
        <w:rPr>
          <w:b/>
          <w:bCs/>
          <w:i/>
          <w:iCs/>
        </w:rPr>
      </w:pPr>
      <w:r>
        <w:rPr>
          <w:b/>
          <w:bCs/>
          <w:i/>
          <w:iCs/>
        </w:rPr>
        <w:t>соответствие условиям, предъявляемым к аудиторским организациям законодательством Российской Федерации, в том числе наличие сведений о включении участника конкурса в реестр аудиторов и аудиторских организаций саморегулируемой организации аудиторов;</w:t>
      </w:r>
    </w:p>
    <w:p w:rsidR="00A02ECF" w:rsidRDefault="006104A2">
      <w:pPr>
        <w:widowControl/>
        <w:numPr>
          <w:ilvl w:val="0"/>
          <w:numId w:val="25"/>
        </w:numPr>
        <w:tabs>
          <w:tab w:val="left" w:pos="709"/>
        </w:tabs>
        <w:spacing w:before="40" w:after="20"/>
        <w:ind w:left="709"/>
        <w:jc w:val="both"/>
        <w:rPr>
          <w:b/>
          <w:bCs/>
          <w:i/>
          <w:iCs/>
        </w:rPr>
      </w:pPr>
      <w:r>
        <w:rPr>
          <w:b/>
          <w:bCs/>
          <w:i/>
          <w:iCs/>
        </w:rPr>
        <w:lastRenderedPageBreak/>
        <w:t>обеспечение заявок на участие в закупке в соответствии с требованиями статей 44 и 45 Закона № 44-ФЗ в сумме</w:t>
      </w:r>
      <w:r>
        <w:rPr>
          <w:rFonts w:ascii="Calibri" w:hAnsi="Calibri" w:cs="Calibri"/>
        </w:rPr>
        <w:t xml:space="preserve"> </w:t>
      </w:r>
      <w:r>
        <w:rPr>
          <w:b/>
          <w:bCs/>
          <w:i/>
          <w:iCs/>
        </w:rPr>
        <w:t>53 815 100 российских рублей. Обеспечение заявки может предоставляться участником закупки в виде денежных средств или независимой гарантии, предусмотренной статьей 45 Закона № 44-ФЗ;</w:t>
      </w:r>
    </w:p>
    <w:p w:rsidR="00A02ECF" w:rsidRDefault="006104A2">
      <w:pPr>
        <w:widowControl/>
        <w:numPr>
          <w:ilvl w:val="0"/>
          <w:numId w:val="25"/>
        </w:numPr>
        <w:tabs>
          <w:tab w:val="left" w:pos="709"/>
        </w:tabs>
        <w:spacing w:before="40" w:after="20"/>
        <w:ind w:left="709"/>
        <w:jc w:val="both"/>
        <w:rPr>
          <w:b/>
          <w:bCs/>
          <w:i/>
          <w:iCs/>
        </w:rPr>
      </w:pPr>
      <w:r>
        <w:rPr>
          <w:b/>
          <w:bCs/>
          <w:i/>
          <w:iCs/>
        </w:rPr>
        <w:t>участником закупки (с учетом правопреемства) в течение трех лет до даты подачи заявки на участие в закупке должен быть исполнен контракт или договор, заключенный в соответствии с Федеральным законом от 18 июля 2011 г. № 223-ФЗ «О закупках товаров, работ, услуг отдельными видами юридических лиц». Стоимость исполненных обязательств по таким контракту, договору должна составлять не менее двадцати процентов начальной (максимальной) цены договора.</w:t>
      </w:r>
    </w:p>
    <w:p w:rsidR="00A02ECF" w:rsidRDefault="006104A2">
      <w:pPr>
        <w:widowControl/>
        <w:numPr>
          <w:ilvl w:val="0"/>
          <w:numId w:val="25"/>
        </w:numPr>
        <w:tabs>
          <w:tab w:val="left" w:pos="709"/>
        </w:tabs>
        <w:spacing w:before="40" w:after="20"/>
        <w:ind w:left="709"/>
        <w:jc w:val="both"/>
        <w:rPr>
          <w:b/>
          <w:bCs/>
          <w:i/>
          <w:iCs/>
        </w:rPr>
      </w:pPr>
      <w:r>
        <w:rPr>
          <w:b/>
          <w:bCs/>
          <w:i/>
          <w:iCs/>
        </w:rPr>
        <w:t>непревышение начальной (максимальной) цены договора на оказание аудиторских услуг.</w:t>
      </w:r>
    </w:p>
    <w:p w:rsidR="00A02ECF" w:rsidRDefault="006104A2">
      <w:pPr>
        <w:tabs>
          <w:tab w:val="left" w:pos="900"/>
        </w:tabs>
        <w:spacing w:before="120"/>
        <w:jc w:val="both"/>
        <w:rPr>
          <w:b/>
          <w:bCs/>
          <w:i/>
          <w:iCs/>
        </w:rPr>
      </w:pPr>
      <w:r>
        <w:rPr>
          <w:b/>
          <w:bCs/>
          <w:i/>
          <w:iCs/>
        </w:rPr>
        <w:t>Критерии оценки заявок на участие в конкурсе, разработанные на основании Постановления № 2604:</w:t>
      </w:r>
    </w:p>
    <w:p w:rsidR="00A02ECF" w:rsidRDefault="006104A2">
      <w:pPr>
        <w:widowControl/>
        <w:numPr>
          <w:ilvl w:val="0"/>
          <w:numId w:val="26"/>
        </w:numPr>
        <w:tabs>
          <w:tab w:val="left" w:pos="709"/>
        </w:tabs>
        <w:spacing w:before="40" w:after="20"/>
        <w:ind w:left="709"/>
        <w:jc w:val="both"/>
        <w:rPr>
          <w:b/>
          <w:bCs/>
          <w:i/>
          <w:iCs/>
        </w:rPr>
      </w:pPr>
      <w:r>
        <w:rPr>
          <w:b/>
          <w:bCs/>
          <w:i/>
          <w:iCs/>
        </w:rPr>
        <w:t>цена договора;</w:t>
      </w:r>
    </w:p>
    <w:p w:rsidR="00A02ECF" w:rsidRDefault="006104A2">
      <w:pPr>
        <w:widowControl/>
        <w:numPr>
          <w:ilvl w:val="0"/>
          <w:numId w:val="26"/>
        </w:numPr>
        <w:tabs>
          <w:tab w:val="left" w:pos="709"/>
        </w:tabs>
        <w:spacing w:before="40" w:after="20"/>
        <w:ind w:left="709"/>
        <w:jc w:val="both"/>
        <w:rPr>
          <w:b/>
          <w:bCs/>
          <w:i/>
          <w:iCs/>
        </w:rPr>
      </w:pPr>
      <w:r>
        <w:rPr>
          <w:b/>
          <w:bCs/>
          <w:i/>
          <w:iCs/>
        </w:rPr>
        <w:t>качественные характеристики объекта закупки;</w:t>
      </w:r>
    </w:p>
    <w:p w:rsidR="00A02ECF" w:rsidRDefault="006104A2">
      <w:pPr>
        <w:widowControl/>
        <w:numPr>
          <w:ilvl w:val="0"/>
          <w:numId w:val="26"/>
        </w:numPr>
        <w:tabs>
          <w:tab w:val="left" w:pos="709"/>
        </w:tabs>
        <w:spacing w:before="40" w:after="20"/>
        <w:ind w:left="709"/>
        <w:jc w:val="both"/>
        <w:rPr>
          <w:b/>
          <w:bCs/>
          <w:i/>
          <w:iCs/>
        </w:rPr>
      </w:pPr>
      <w:r>
        <w:rPr>
          <w:b/>
          <w:bCs/>
          <w:i/>
          <w:iCs/>
        </w:rPr>
        <w:t>квалификация участника конкурса, в том числе наличие опыта работы, связанного с предметом контракта, и специалистов, и иных работников определенного уровня квалификации.</w:t>
      </w:r>
    </w:p>
    <w:p w:rsidR="00A02ECF" w:rsidRDefault="006104A2">
      <w:pPr>
        <w:tabs>
          <w:tab w:val="left" w:pos="900"/>
        </w:tabs>
        <w:spacing w:before="120"/>
        <w:jc w:val="both"/>
        <w:rPr>
          <w:b/>
          <w:bCs/>
          <w:i/>
          <w:iCs/>
        </w:rPr>
      </w:pPr>
      <w:r>
        <w:rPr>
          <w:b/>
          <w:bCs/>
          <w:i/>
          <w:iCs/>
        </w:rPr>
        <w:t>Кроме того, установлена необходимость представления обеспечения исполнения договора в размере 30% (тридцати процентов) начальной (максимальной) цены договора об оказании услуг по аудиту.</w:t>
      </w:r>
    </w:p>
    <w:p w:rsidR="00A02ECF" w:rsidRDefault="006104A2">
      <w:pPr>
        <w:tabs>
          <w:tab w:val="left" w:pos="900"/>
        </w:tabs>
        <w:spacing w:before="120"/>
        <w:jc w:val="both"/>
        <w:rPr>
          <w:b/>
          <w:bCs/>
          <w:i/>
          <w:iCs/>
        </w:rPr>
      </w:pPr>
      <w:r>
        <w:rPr>
          <w:b/>
          <w:bCs/>
          <w:i/>
          <w:iCs/>
        </w:rPr>
        <w:t>В соответствии с протоколом подведения итогов открытого конкурса в электронной форме от 14 февраля 2023 г. ООО «ФБК» определена аудиторской организацией по результатам открытого конкурса в электронной форме на право заключения договора об оказании услуг по аудиту бухгалтерской (финансовой) отчетности ПАО «Газпром», сводной бухгалтерской отчетности Группы Газпром и</w:t>
      </w:r>
      <w:r>
        <w:rPr>
          <w:b/>
          <w:bCs/>
          <w:i/>
          <w:iCs/>
          <w:lang w:val="en-US"/>
        </w:rPr>
        <w:t> </w:t>
      </w:r>
      <w:r>
        <w:rPr>
          <w:b/>
          <w:bCs/>
          <w:i/>
          <w:iCs/>
        </w:rPr>
        <w:t>консолидированной финансовой отчетности Группы Газпром, подготовленной в соответствии со</w:t>
      </w:r>
      <w:r>
        <w:rPr>
          <w:b/>
          <w:bCs/>
          <w:i/>
          <w:iCs/>
          <w:lang w:val="en-US"/>
        </w:rPr>
        <w:t> </w:t>
      </w:r>
      <w:r>
        <w:rPr>
          <w:b/>
          <w:bCs/>
          <w:i/>
          <w:iCs/>
        </w:rPr>
        <w:t xml:space="preserve"> стандартами финансовой отчетности МСФО, за 2023-2025 годы.</w:t>
      </w:r>
    </w:p>
    <w:p w:rsidR="00A02ECF" w:rsidRDefault="006104A2">
      <w:pPr>
        <w:tabs>
          <w:tab w:val="left" w:pos="900"/>
        </w:tabs>
        <w:spacing w:before="120"/>
        <w:jc w:val="both"/>
        <w:rPr>
          <w:b/>
          <w:bCs/>
          <w:i/>
          <w:iCs/>
        </w:rPr>
      </w:pPr>
      <w:r>
        <w:rPr>
          <w:b/>
          <w:bCs/>
          <w:i/>
          <w:iCs/>
        </w:rPr>
        <w:t>В ПАО «Газпром», в соответствии с решением Совета директоров ОАО «Газпром» от 19 ноября 2002 г. № 390, образован Комитет Совета директоров ПАО «Газпром» по аудиту, одной из основных функций которого является оценка кандидатов в аудиторы Общества.</w:t>
      </w:r>
    </w:p>
    <w:p w:rsidR="00A02ECF" w:rsidRDefault="006104A2">
      <w:pPr>
        <w:spacing w:before="120"/>
        <w:jc w:val="both"/>
      </w:pPr>
      <w:r>
        <w:t>Процедура выдвижения кандидатуры аудиторской организации для назначения общим собранием акционеров (участников) эмитента, в том числе орган управления эмитента, принимающий решение о</w:t>
      </w:r>
      <w:r>
        <w:rPr>
          <w:lang w:val="en-US"/>
        </w:rPr>
        <w:t> </w:t>
      </w:r>
      <w:r>
        <w:t>выдвижении кандидатуры аудиторской организации эмитента:</w:t>
      </w:r>
    </w:p>
    <w:p w:rsidR="00A02ECF" w:rsidRDefault="006104A2">
      <w:pPr>
        <w:spacing w:before="120"/>
        <w:jc w:val="both"/>
        <w:rPr>
          <w:b/>
          <w:bCs/>
          <w:i/>
          <w:iCs/>
        </w:rPr>
      </w:pPr>
      <w:r>
        <w:rPr>
          <w:b/>
          <w:bCs/>
          <w:i/>
          <w:iCs/>
        </w:rPr>
        <w:t xml:space="preserve">Согласно пункту 49.2 Устава ПАО «Газпром» Общее собрание акционеров назначает аудиторскую организацию Общества. </w:t>
      </w:r>
    </w:p>
    <w:p w:rsidR="00A02ECF" w:rsidRDefault="006104A2">
      <w:pPr>
        <w:spacing w:before="120"/>
        <w:jc w:val="both"/>
        <w:rPr>
          <w:b/>
          <w:bCs/>
          <w:i/>
          <w:iCs/>
        </w:rPr>
      </w:pPr>
      <w:r>
        <w:rPr>
          <w:b/>
          <w:bCs/>
          <w:i/>
          <w:iCs/>
        </w:rPr>
        <w:t>Согласно пункту 4.27 Кодекса корпоративного управления ПАО «Газпром» аудитор Общества утверждается Общим собранием акционеров Общества на основании предложений Совета директоров по итогам проведения конкурса по отбору аудиторских организаций в соответствии с действующим законодательством.</w:t>
      </w:r>
    </w:p>
    <w:p w:rsidR="00A02ECF" w:rsidRDefault="00A02ECF">
      <w:pPr>
        <w:spacing w:before="120"/>
        <w:jc w:val="both"/>
        <w:rPr>
          <w:b/>
          <w:bCs/>
          <w:i/>
          <w:iCs/>
        </w:rPr>
      </w:pPr>
    </w:p>
    <w:p w:rsidR="00A02ECF" w:rsidRDefault="006104A2">
      <w:pPr>
        <w:spacing w:before="120"/>
        <w:jc w:val="both"/>
      </w:pPr>
      <w:r>
        <w:rPr>
          <w:b/>
          <w:bCs/>
          <w:i/>
          <w:iCs/>
        </w:rPr>
        <w:t>Данные положения соответствуют действующему законодательству, в соответствии с которым аудиторская организация, определенная по результатам конкурса, назначается Общим собранием акционеров ПАО «Газпром» по представлению ее кандидатуры Советом директоров ПАО «Газпром».</w:t>
      </w:r>
    </w:p>
    <w:p w:rsidR="00A02ECF" w:rsidRDefault="00A02ECF">
      <w:pPr>
        <w:jc w:val="both"/>
      </w:pPr>
    </w:p>
    <w:p w:rsidR="00A02ECF" w:rsidRDefault="006104A2">
      <w:pPr>
        <w:jc w:val="both"/>
      </w:pPr>
      <w:r>
        <w:t>Информация об изменениях в составе сведений настоящего пункта отчёта эмитента, которые произошли между отчетной датой и датой раскрытия отчётности, на основе которой в отчёте эмитента раскрывается информация о финансово-хозяйственной деятельности эмитента, которая известна или должна быть известна эмитенту на дату раскрытия соответствующей отчетности:</w:t>
      </w:r>
    </w:p>
    <w:p w:rsidR="00A02ECF" w:rsidRDefault="006104A2">
      <w:pPr>
        <w:spacing w:before="120"/>
        <w:jc w:val="both"/>
        <w:rPr>
          <w:b/>
          <w:bCs/>
          <w:i/>
          <w:iCs/>
        </w:rPr>
      </w:pPr>
      <w:r>
        <w:rPr>
          <w:b/>
          <w:bCs/>
          <w:i/>
          <w:iCs/>
        </w:rPr>
        <w:t xml:space="preserve">20 января 2026 года был объявлен открытый конкурс в электронной форме на право заключения договора об оказании услуг по аудиту бухгалтерской (финансовой) отчетности ПАО «Газпром», сводной бухгалтерской отчетности Группы Газпром и консолидированной финансовой отчетности Группы Газпром, подготовленной в соответствии со стандартами финансовой отчетности МСФО, за 2026-2028 годы. </w:t>
      </w:r>
    </w:p>
    <w:p w:rsidR="00A02ECF" w:rsidRDefault="006104A2">
      <w:pPr>
        <w:spacing w:before="120"/>
        <w:jc w:val="both"/>
        <w:rPr>
          <w:b/>
          <w:bCs/>
          <w:i/>
          <w:iCs/>
        </w:rPr>
      </w:pPr>
      <w:r>
        <w:rPr>
          <w:b/>
          <w:bCs/>
          <w:i/>
          <w:iCs/>
        </w:rPr>
        <w:t xml:space="preserve">При формировании документации для проведения указанного открытого конкурса в электронной форме также было использовано Постановление Правительства от 31.12.2021 N 2604 «Об оценке заявок на участие в закупке товаров, работ, услуг для обеспечения государственных и муниципальных нужд». </w:t>
      </w:r>
    </w:p>
    <w:p w:rsidR="00A02ECF" w:rsidRDefault="006104A2">
      <w:pPr>
        <w:tabs>
          <w:tab w:val="left" w:pos="900"/>
        </w:tabs>
        <w:spacing w:before="120"/>
        <w:jc w:val="both"/>
        <w:rPr>
          <w:b/>
          <w:bCs/>
          <w:i/>
          <w:iCs/>
        </w:rPr>
      </w:pPr>
      <w:r>
        <w:rPr>
          <w:b/>
          <w:bCs/>
          <w:i/>
          <w:iCs/>
        </w:rPr>
        <w:lastRenderedPageBreak/>
        <w:t>Основные требования к участникам конкурса:</w:t>
      </w:r>
    </w:p>
    <w:p w:rsidR="00A02ECF" w:rsidRDefault="006104A2">
      <w:pPr>
        <w:widowControl/>
        <w:numPr>
          <w:ilvl w:val="0"/>
          <w:numId w:val="37"/>
        </w:numPr>
        <w:tabs>
          <w:tab w:val="left" w:pos="900"/>
        </w:tabs>
        <w:spacing w:before="0" w:after="0"/>
        <w:ind w:left="720" w:hanging="294"/>
        <w:jc w:val="both"/>
        <w:rPr>
          <w:b/>
          <w:bCs/>
          <w:i/>
          <w:iCs/>
        </w:rPr>
      </w:pPr>
      <w:r>
        <w:rPr>
          <w:b/>
          <w:bCs/>
          <w:i/>
          <w:iCs/>
        </w:rPr>
        <w:t xml:space="preserve">соответствие требованиям, предусмотренным статьей 31 Закона от 05.04.2013г. </w:t>
      </w:r>
      <w:r>
        <w:rPr>
          <w:b/>
          <w:bCs/>
          <w:i/>
          <w:iCs/>
        </w:rPr>
        <w:br/>
        <w:t>№ 44-ФЗ;</w:t>
      </w:r>
    </w:p>
    <w:p w:rsidR="00A02ECF" w:rsidRDefault="006104A2">
      <w:pPr>
        <w:widowControl/>
        <w:numPr>
          <w:ilvl w:val="0"/>
          <w:numId w:val="37"/>
        </w:numPr>
        <w:tabs>
          <w:tab w:val="left" w:pos="900"/>
        </w:tabs>
        <w:spacing w:before="0" w:after="0"/>
        <w:ind w:left="720" w:hanging="294"/>
        <w:jc w:val="both"/>
        <w:rPr>
          <w:b/>
          <w:bCs/>
          <w:i/>
          <w:iCs/>
        </w:rPr>
      </w:pPr>
      <w:r>
        <w:rPr>
          <w:b/>
          <w:bCs/>
          <w:i/>
          <w:iCs/>
        </w:rPr>
        <w:t>соответствие условиям, предъявляемым к аудиторским организациям законодательством Российской Федерации, в том числе наличие сведений о включении участника конкурса в реестр аудиторов и аудиторских организаций саморегулируемой организации аудиторов;</w:t>
      </w:r>
    </w:p>
    <w:p w:rsidR="00A02ECF" w:rsidRDefault="006104A2">
      <w:pPr>
        <w:widowControl/>
        <w:numPr>
          <w:ilvl w:val="0"/>
          <w:numId w:val="37"/>
        </w:numPr>
        <w:tabs>
          <w:tab w:val="left" w:pos="900"/>
        </w:tabs>
        <w:spacing w:before="0" w:after="0"/>
        <w:ind w:left="720" w:hanging="294"/>
        <w:jc w:val="both"/>
        <w:rPr>
          <w:b/>
          <w:bCs/>
          <w:i/>
          <w:iCs/>
        </w:rPr>
      </w:pPr>
      <w:r>
        <w:rPr>
          <w:b/>
          <w:bCs/>
          <w:i/>
          <w:iCs/>
        </w:rPr>
        <w:t xml:space="preserve">обеспечение заявок на участие в закупке в соответствии с требованиями статей 44 и 45 Закона </w:t>
      </w:r>
      <w:r>
        <w:rPr>
          <w:b/>
          <w:bCs/>
          <w:i/>
          <w:iCs/>
        </w:rPr>
        <w:br/>
        <w:t>№ 44-ФЗ в сумме</w:t>
      </w:r>
      <w:r>
        <w:rPr>
          <w:rFonts w:ascii="Calibri" w:hAnsi="Calibri" w:cs="Calibri"/>
        </w:rPr>
        <w:t xml:space="preserve"> </w:t>
      </w:r>
      <w:r>
        <w:rPr>
          <w:b/>
          <w:bCs/>
          <w:i/>
          <w:iCs/>
        </w:rPr>
        <w:t>53 815 100 российских рублей. Обеспечение заявки может предоставляться участником закупки в виде денежных средств или независимой гарантии, предусмотренной статьей 45 Закона № 44-ФЗ;</w:t>
      </w:r>
    </w:p>
    <w:p w:rsidR="00A02ECF" w:rsidRDefault="006104A2">
      <w:pPr>
        <w:widowControl/>
        <w:numPr>
          <w:ilvl w:val="0"/>
          <w:numId w:val="37"/>
        </w:numPr>
        <w:tabs>
          <w:tab w:val="left" w:pos="900"/>
        </w:tabs>
        <w:spacing w:before="0" w:after="0"/>
        <w:ind w:left="720" w:hanging="294"/>
        <w:jc w:val="both"/>
        <w:rPr>
          <w:b/>
          <w:bCs/>
          <w:i/>
          <w:iCs/>
        </w:rPr>
      </w:pPr>
      <w:r>
        <w:rPr>
          <w:b/>
          <w:bCs/>
          <w:i/>
          <w:iCs/>
        </w:rPr>
        <w:t>участником закупки (с учетом правопреемства) в течение трех лет до даты подачи заявки на участие в закупке должен быть исполнен контракт или договор, заключенный в соответствии с Федеральным законом от 18 июля 2011 г. № 223-ФЗ «О закупках товаров, работ, услуг отдельными видами юридических лиц». Стоимость исполненных обязательств по таким контракту, договору должна составлять не менее двадцати процентов начальной (максимальной) цены договора.</w:t>
      </w:r>
    </w:p>
    <w:p w:rsidR="00A02ECF" w:rsidRDefault="006104A2">
      <w:pPr>
        <w:widowControl/>
        <w:numPr>
          <w:ilvl w:val="0"/>
          <w:numId w:val="37"/>
        </w:numPr>
        <w:tabs>
          <w:tab w:val="left" w:pos="900"/>
        </w:tabs>
        <w:spacing w:before="0" w:after="0"/>
        <w:ind w:left="720" w:hanging="294"/>
        <w:jc w:val="both"/>
        <w:rPr>
          <w:b/>
          <w:bCs/>
          <w:i/>
          <w:iCs/>
        </w:rPr>
      </w:pPr>
      <w:r>
        <w:rPr>
          <w:b/>
          <w:bCs/>
          <w:i/>
          <w:iCs/>
        </w:rPr>
        <w:t>непревышение начальной (максимальной) цены договора на оказание аудиторских услуг.</w:t>
      </w:r>
    </w:p>
    <w:p w:rsidR="00A02ECF" w:rsidRDefault="006104A2">
      <w:pPr>
        <w:tabs>
          <w:tab w:val="left" w:pos="900"/>
        </w:tabs>
        <w:spacing w:before="120"/>
        <w:jc w:val="both"/>
        <w:rPr>
          <w:b/>
          <w:bCs/>
          <w:i/>
          <w:iCs/>
        </w:rPr>
      </w:pPr>
      <w:r>
        <w:rPr>
          <w:b/>
          <w:bCs/>
          <w:i/>
          <w:iCs/>
        </w:rPr>
        <w:t>Критерии оценки заявок на участие в конкурсе, разработанные на основании Постановления № 2604:</w:t>
      </w:r>
    </w:p>
    <w:p w:rsidR="00A02ECF" w:rsidRDefault="006104A2">
      <w:pPr>
        <w:widowControl/>
        <w:numPr>
          <w:ilvl w:val="0"/>
          <w:numId w:val="36"/>
        </w:numPr>
        <w:tabs>
          <w:tab w:val="left" w:pos="900"/>
        </w:tabs>
        <w:spacing w:before="0" w:after="0"/>
        <w:ind w:left="709" w:hanging="283"/>
        <w:jc w:val="both"/>
        <w:rPr>
          <w:b/>
          <w:bCs/>
          <w:i/>
          <w:iCs/>
        </w:rPr>
      </w:pPr>
      <w:r>
        <w:rPr>
          <w:b/>
          <w:bCs/>
          <w:i/>
          <w:iCs/>
        </w:rPr>
        <w:t>цена договора;</w:t>
      </w:r>
    </w:p>
    <w:p w:rsidR="00A02ECF" w:rsidRDefault="006104A2">
      <w:pPr>
        <w:widowControl/>
        <w:numPr>
          <w:ilvl w:val="0"/>
          <w:numId w:val="36"/>
        </w:numPr>
        <w:tabs>
          <w:tab w:val="left" w:pos="900"/>
        </w:tabs>
        <w:spacing w:before="0" w:after="0"/>
        <w:ind w:left="709" w:hanging="283"/>
        <w:jc w:val="both"/>
        <w:rPr>
          <w:b/>
          <w:bCs/>
          <w:i/>
          <w:iCs/>
        </w:rPr>
      </w:pPr>
      <w:r>
        <w:rPr>
          <w:b/>
          <w:bCs/>
          <w:i/>
          <w:iCs/>
        </w:rPr>
        <w:t>качественные характеристики объекта закупки;</w:t>
      </w:r>
    </w:p>
    <w:p w:rsidR="00A02ECF" w:rsidRDefault="006104A2">
      <w:pPr>
        <w:widowControl/>
        <w:numPr>
          <w:ilvl w:val="0"/>
          <w:numId w:val="36"/>
        </w:numPr>
        <w:tabs>
          <w:tab w:val="left" w:pos="900"/>
        </w:tabs>
        <w:spacing w:before="0" w:after="0"/>
        <w:ind w:left="709" w:hanging="283"/>
        <w:jc w:val="both"/>
        <w:rPr>
          <w:b/>
          <w:bCs/>
          <w:i/>
          <w:iCs/>
        </w:rPr>
      </w:pPr>
      <w:r>
        <w:rPr>
          <w:b/>
          <w:bCs/>
          <w:i/>
          <w:iCs/>
        </w:rPr>
        <w:t>квалификация участника конкурса, в том числе наличие опыта работы, связанного с предметом контракта, и специалистов и иных работников определенного уровня квалификации.</w:t>
      </w:r>
    </w:p>
    <w:p w:rsidR="00A02ECF" w:rsidRDefault="006104A2">
      <w:pPr>
        <w:tabs>
          <w:tab w:val="left" w:pos="900"/>
        </w:tabs>
        <w:spacing w:before="120"/>
        <w:jc w:val="both"/>
        <w:rPr>
          <w:b/>
          <w:bCs/>
          <w:i/>
          <w:iCs/>
        </w:rPr>
      </w:pPr>
      <w:r>
        <w:rPr>
          <w:b/>
          <w:bCs/>
          <w:i/>
          <w:iCs/>
        </w:rPr>
        <w:t>Кроме того, установлена необходимость представления обеспечения исполнения договора в размере 30% (тридцати процентов) начальной (максимальной) цены договора об оказании услуг по аудиту.</w:t>
      </w:r>
    </w:p>
    <w:p w:rsidR="00A02ECF" w:rsidRDefault="006104A2">
      <w:pPr>
        <w:tabs>
          <w:tab w:val="left" w:pos="900"/>
        </w:tabs>
        <w:spacing w:before="120"/>
        <w:jc w:val="both"/>
        <w:rPr>
          <w:b/>
          <w:bCs/>
          <w:i/>
          <w:iCs/>
        </w:rPr>
      </w:pPr>
      <w:r>
        <w:rPr>
          <w:b/>
          <w:bCs/>
          <w:i/>
          <w:iCs/>
        </w:rPr>
        <w:t>В соответствии с протоколом подведения итогов открытого конкурса в электронной форме от 18 февраля 2026 г. победителем признано - ООО «ФБК», которое определено аудиторской организацией по результатам открытого конкурса в электронной форме на право заключения договора об оказании услуг по аудиту бухгалтерской (финансовой) отчетности ПАО «Газпром», сводной бухгалтерской отчетности Группы Газпром и консолидированной финансовой отчетности Группы Газпром, подготовленной в соответствии со стандартами финансовой отчетности МСФО, за 2026-2028 годы.</w:t>
      </w:r>
      <w:bookmarkEnd w:id="271"/>
    </w:p>
    <w:p w:rsidR="00A02ECF" w:rsidRDefault="00A02ECF"/>
    <w:p w:rsidR="00A02ECF" w:rsidRDefault="006104A2">
      <w:pPr>
        <w:pStyle w:val="1"/>
        <w:rPr>
          <w:bCs w:val="0"/>
          <w:color w:val="000000"/>
          <w:szCs w:val="20"/>
        </w:rPr>
      </w:pPr>
      <w:r>
        <w:rPr>
          <w:bCs w:val="0"/>
          <w:color w:val="000000"/>
          <w:szCs w:val="20"/>
        </w:rPr>
        <w:br w:type="page" w:clear="all"/>
      </w:r>
      <w:bookmarkStart w:id="272" w:name="_Toc230104349"/>
      <w:r>
        <w:rPr>
          <w:bCs w:val="0"/>
          <w:color w:val="000000"/>
          <w:szCs w:val="20"/>
        </w:rPr>
        <w:lastRenderedPageBreak/>
        <w:t>Раздел 5. Консолидированная финансовая отчетность (финансовая отчетность), бухгалтерская (финансовая) отчетность эмитента</w:t>
      </w:r>
      <w:bookmarkEnd w:id="272"/>
    </w:p>
    <w:p w:rsidR="00A02ECF" w:rsidRDefault="006104A2">
      <w:pPr>
        <w:pStyle w:val="2"/>
        <w:jc w:val="both"/>
        <w:rPr>
          <w:bCs w:val="0"/>
          <w:color w:val="000000"/>
          <w:szCs w:val="20"/>
        </w:rPr>
      </w:pPr>
      <w:bookmarkStart w:id="273" w:name="_Toc230104350"/>
      <w:r>
        <w:rPr>
          <w:bCs w:val="0"/>
          <w:color w:val="000000"/>
          <w:szCs w:val="20"/>
        </w:rPr>
        <w:t>5.1. Консолидированная финансовая отчетность (финансовая отчетность) эмитента</w:t>
      </w:r>
      <w:bookmarkEnd w:id="273"/>
    </w:p>
    <w:p w:rsidR="00A02ECF" w:rsidRDefault="006104A2">
      <w:pPr>
        <w:spacing w:before="120"/>
        <w:jc w:val="both"/>
        <w:rPr>
          <w:b/>
          <w:i/>
        </w:rPr>
      </w:pPr>
      <w:r>
        <w:rPr>
          <w:b/>
          <w:i/>
        </w:rPr>
        <w:t>Годовая консолидированная финансовая отчетность, подготовленная в соответствии со</w:t>
      </w:r>
      <w:r>
        <w:rPr>
          <w:b/>
          <w:i/>
          <w:lang w:val="en-US"/>
        </w:rPr>
        <w:t> </w:t>
      </w:r>
      <w:r>
        <w:rPr>
          <w:b/>
          <w:i/>
        </w:rPr>
        <w:t>стандартами финансовой отчетности МСФО, была раскрыта эмитентом ранее.</w:t>
      </w:r>
    </w:p>
    <w:p w:rsidR="00A02ECF" w:rsidRDefault="006104A2">
      <w:pPr>
        <w:jc w:val="both"/>
      </w:pPr>
      <w:r>
        <w:t xml:space="preserve">Адрес страницы в сети «Интернет», на которой опубликована указанная отчетность: </w:t>
      </w:r>
    </w:p>
    <w:p w:rsidR="00A02ECF" w:rsidRDefault="006104A2">
      <w:pPr>
        <w:jc w:val="both"/>
      </w:pPr>
      <w:r>
        <w:t>https://www.e-disclosure.ru/portal/files.aspx?id=934&amp;type=4</w:t>
      </w:r>
    </w:p>
    <w:p w:rsidR="00A02ECF" w:rsidRDefault="006104A2">
      <w:pPr>
        <w:pStyle w:val="2"/>
        <w:jc w:val="both"/>
        <w:rPr>
          <w:bCs w:val="0"/>
          <w:color w:val="000000"/>
          <w:szCs w:val="20"/>
        </w:rPr>
      </w:pPr>
      <w:bookmarkStart w:id="274" w:name="_Toc230104351"/>
      <w:r>
        <w:rPr>
          <w:bCs w:val="0"/>
          <w:color w:val="000000"/>
          <w:szCs w:val="20"/>
        </w:rPr>
        <w:t>5.2. Бухгалтерская (финансовая) отчетность</w:t>
      </w:r>
      <w:bookmarkEnd w:id="274"/>
    </w:p>
    <w:p w:rsidR="00A02ECF" w:rsidRDefault="006104A2">
      <w:pPr>
        <w:pStyle w:val="ConsPlusNormal"/>
        <w:spacing w:before="120" w:after="120"/>
        <w:ind w:left="0"/>
        <w:jc w:val="both"/>
        <w:rPr>
          <w:sz w:val="20"/>
          <w:szCs w:val="20"/>
        </w:rPr>
      </w:pPr>
      <w:r>
        <w:rPr>
          <w:b/>
          <w:i/>
          <w:sz w:val="20"/>
          <w:szCs w:val="20"/>
        </w:rPr>
        <w:t>Годовая бухгалтерская (финансовая) отчетность эмитента была раскрыта эмитентом ранее.</w:t>
      </w:r>
    </w:p>
    <w:p w:rsidR="00A02ECF" w:rsidRDefault="006104A2">
      <w:pPr>
        <w:jc w:val="both"/>
      </w:pPr>
      <w:r>
        <w:t xml:space="preserve">Адрес страницы в сети «Интернет», на которой опубликована указанная отчетность: </w:t>
      </w:r>
    </w:p>
    <w:p w:rsidR="00A02ECF" w:rsidRDefault="006104A2">
      <w:pPr>
        <w:jc w:val="both"/>
      </w:pPr>
      <w:r>
        <w:t xml:space="preserve">https://www.e-disclosure.ru/portal/files.aspx?id=934&amp;type=3 </w:t>
      </w:r>
    </w:p>
    <w:p w:rsidR="00A02ECF" w:rsidRDefault="006104A2">
      <w:pPr>
        <w:pStyle w:val="1"/>
        <w:jc w:val="both"/>
        <w:rPr>
          <w:bCs w:val="0"/>
          <w:color w:val="000000"/>
          <w:sz w:val="24"/>
          <w:szCs w:val="24"/>
        </w:rPr>
      </w:pPr>
      <w:r>
        <w:br w:type="page" w:clear="all"/>
      </w:r>
      <w:bookmarkStart w:id="275" w:name="_Toc230104352"/>
      <w:r>
        <w:rPr>
          <w:bCs w:val="0"/>
          <w:color w:val="000000"/>
          <w:sz w:val="24"/>
          <w:szCs w:val="24"/>
        </w:rPr>
        <w:lastRenderedPageBreak/>
        <w:t>Приложение № 1. Информация о заключенных ПАО «Газпром» в 2025 году сделках, в совершении которых имеется заинтересованность.</w:t>
      </w:r>
      <w:bookmarkEnd w:id="275"/>
    </w:p>
    <w:p w:rsidR="00C8355D" w:rsidRDefault="00C8355D" w:rsidP="00C8355D"/>
    <w:p w:rsidR="00C8355D" w:rsidRDefault="00C8355D" w:rsidP="00C8355D">
      <w:pPr>
        <w:jc w:val="both"/>
      </w:pPr>
      <w:bookmarkStart w:id="276" w:name="_Toc199252184"/>
      <w:r>
        <w:rPr>
          <w:b/>
        </w:rPr>
        <w:t>Информация не раскрывается на основании пункта 6 статьи 30.1 Федерального закона «О рынке ценных бумаг».</w:t>
      </w:r>
      <w:bookmarkEnd w:id="276"/>
    </w:p>
    <w:p w:rsidR="00C8355D" w:rsidRDefault="00C8355D" w:rsidP="00C8355D"/>
    <w:sectPr w:rsidR="00C8355D">
      <w:headerReference w:type="default" r:id="rId17"/>
      <w:footerReference w:type="default" r:id="rId18"/>
      <w:pgSz w:w="11907" w:h="16840"/>
      <w:pgMar w:top="1134" w:right="1275" w:bottom="1134" w:left="1418" w:header="720" w:footer="720" w:gutter="0"/>
      <w:cols w:space="720"/>
      <w:titlePg/>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0C6F" w:rsidRDefault="00790C6F">
      <w:pPr>
        <w:spacing w:after="0"/>
      </w:pPr>
      <w:r>
        <w:separator/>
      </w:r>
    </w:p>
  </w:endnote>
  <w:endnote w:type="continuationSeparator" w:id="0">
    <w:p w:rsidR="00790C6F" w:rsidRDefault="00790C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PMingLiU">
    <w:altName w:val="新細明體"/>
    <w:panose1 w:val="02020500000000000000"/>
    <w:charset w:val="88"/>
    <w:family w:val="roman"/>
    <w:pitch w:val="variable"/>
    <w:sig w:usb0="A00002FF" w:usb1="28CFFCFA" w:usb2="00000016" w:usb3="00000000" w:csb0="00100001" w:csb1="00000000"/>
  </w:font>
  <w:font w:name="Times New Roman Bold Italic">
    <w:altName w:val="Times New Roman"/>
    <w:charset w:val="00"/>
    <w:family w:val="auto"/>
    <w:pitch w:val="default"/>
  </w:font>
  <w:font w:name="TimesNewRomanPSMT">
    <w:altName w:val="Times New Roman"/>
    <w:charset w:val="00"/>
    <w:family w:val="auto"/>
    <w:pitch w:val="default"/>
  </w:font>
  <w:font w:name="Aptos">
    <w:charset w:val="00"/>
    <w:family w:val="auto"/>
    <w:pitch w:val="default"/>
  </w:font>
  <w:font w:name="Times New Roman CYR">
    <w:panose1 w:val="02020603050405020304"/>
    <w:charset w:val="CC"/>
    <w:family w:val="roman"/>
    <w:pitch w:val="variable"/>
    <w:sig w:usb0="E0002AFF" w:usb1="C0007841"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633F" w:rsidRDefault="009F633F">
    <w:pPr>
      <w:pStyle w:val="ae"/>
      <w:rPr>
        <w:sz w:val="24"/>
        <w:szCs w:val="24"/>
      </w:rPr>
    </w:pPr>
  </w:p>
  <w:p w:rsidR="009F633F" w:rsidRDefault="009F633F">
    <w:pPr>
      <w:framePr w:wrap="auto" w:hAnchor="text" w:xAlign="right"/>
      <w:spacing w:before="0" w:after="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0C6F" w:rsidRDefault="00790C6F">
      <w:pPr>
        <w:spacing w:after="0"/>
      </w:pPr>
      <w:r>
        <w:separator/>
      </w:r>
    </w:p>
  </w:footnote>
  <w:footnote w:type="continuationSeparator" w:id="0">
    <w:p w:rsidR="00790C6F" w:rsidRDefault="00790C6F">
      <w:pPr>
        <w:spacing w:after="0"/>
      </w:pPr>
      <w:r>
        <w:continuationSeparator/>
      </w:r>
    </w:p>
  </w:footnote>
  <w:footnote w:id="1">
    <w:p w:rsidR="009F633F" w:rsidRDefault="009F633F">
      <w:pPr>
        <w:pStyle w:val="af4"/>
        <w:rPr>
          <w:sz w:val="18"/>
          <w:szCs w:val="18"/>
        </w:rPr>
      </w:pPr>
      <w:r>
        <w:rPr>
          <w:rStyle w:val="af6"/>
        </w:rPr>
        <w:footnoteRef/>
      </w:r>
      <w:r>
        <w:rPr>
          <w:sz w:val="16"/>
          <w:szCs w:val="16"/>
        </w:rPr>
        <w:t>Данные приведены по предварительным оценкам.</w:t>
      </w:r>
    </w:p>
  </w:footnote>
  <w:footnote w:id="2">
    <w:p w:rsidR="009F633F" w:rsidRDefault="009F633F">
      <w:pPr>
        <w:pStyle w:val="af4"/>
        <w:jc w:val="both"/>
        <w:rPr>
          <w:color w:val="000000" w:themeColor="text1"/>
          <w:sz w:val="18"/>
          <w:szCs w:val="18"/>
        </w:rPr>
      </w:pPr>
      <w:r>
        <w:rPr>
          <w:rStyle w:val="af6"/>
          <w:rFonts w:eastAsia="Calibri"/>
          <w:color w:val="000000" w:themeColor="text1"/>
          <w:sz w:val="18"/>
          <w:szCs w:val="18"/>
        </w:rPr>
        <w:footnoteRef/>
      </w:r>
      <w:r>
        <w:rPr>
          <w:color w:val="000000" w:themeColor="text1"/>
          <w:sz w:val="18"/>
          <w:szCs w:val="18"/>
        </w:rPr>
        <w:t xml:space="preserve"> Общественно-деловой научный журнал «Энергетическая политика» (energy-policy.ru): выпуск № 1 (216) / 2026, выпуск № 1 (204) / 2025, выпуск № 1 (192) / 2024, выпуск № 2 (180) / 2023.</w:t>
      </w:r>
    </w:p>
  </w:footnote>
  <w:footnote w:id="3">
    <w:p w:rsidR="009F633F" w:rsidRDefault="009F633F">
      <w:pPr>
        <w:pStyle w:val="af4"/>
        <w:jc w:val="both"/>
        <w:rPr>
          <w:color w:val="000000" w:themeColor="text1"/>
          <w:sz w:val="18"/>
          <w:szCs w:val="18"/>
        </w:rPr>
      </w:pPr>
      <w:r>
        <w:rPr>
          <w:rStyle w:val="af6"/>
          <w:rFonts w:eastAsia="Calibri"/>
          <w:color w:val="000000" w:themeColor="text1"/>
          <w:sz w:val="18"/>
          <w:szCs w:val="18"/>
        </w:rPr>
        <w:footnoteRef/>
      </w:r>
      <w:r>
        <w:rPr>
          <w:color w:val="000000" w:themeColor="text1"/>
          <w:sz w:val="18"/>
          <w:szCs w:val="18"/>
        </w:rPr>
        <w:t xml:space="preserve"> Общественно-деловой научный журнал «Энергетическая политика» (energy-policy.ru): выпуск №1 (216) / 2026,</w:t>
      </w:r>
      <w:r>
        <w:rPr>
          <w:color w:val="000000" w:themeColor="text1"/>
        </w:rPr>
        <w:t xml:space="preserve"> </w:t>
      </w:r>
      <w:r>
        <w:rPr>
          <w:color w:val="000000" w:themeColor="text1"/>
          <w:sz w:val="18"/>
          <w:szCs w:val="18"/>
        </w:rPr>
        <w:t>выпуск № 1 (204) / 2025, выпуск № 1 (192) / 2024, выпуск № 2 (180) / 2023.</w:t>
      </w:r>
    </w:p>
  </w:footnote>
  <w:footnote w:id="4">
    <w:p w:rsidR="009F633F" w:rsidRDefault="009F633F">
      <w:pPr>
        <w:pStyle w:val="af4"/>
        <w:ind w:right="-142"/>
        <w:jc w:val="both"/>
      </w:pPr>
      <w:r>
        <w:rPr>
          <w:rStyle w:val="af6"/>
        </w:rPr>
        <w:footnoteRef/>
      </w:r>
      <w:r>
        <w:t>Раскрытые в отчете эмитента за 2024 год показатель расходов на приобретение основных средств и нематериальных активов (капитальные затраты) и показатель свободного денежного потока (</w:t>
      </w:r>
      <w:r>
        <w:rPr>
          <w:lang w:val="en-US"/>
        </w:rPr>
        <w:t>FCF</w:t>
      </w:r>
      <w:r>
        <w:t xml:space="preserve">) составили 2 353 789 млн руб. и 141 899 млн руб. соответственно. Изменение данных показателей обусловлено </w:t>
      </w:r>
      <w:r>
        <w:rPr>
          <w:rFonts w:hint="eastAsia"/>
        </w:rPr>
        <w:t>изменением с</w:t>
      </w:r>
      <w:r>
        <w:t xml:space="preserve"> 1 </w:t>
      </w:r>
      <w:r>
        <w:rPr>
          <w:rFonts w:hint="eastAsia"/>
        </w:rPr>
        <w:t>апреля</w:t>
      </w:r>
      <w:r>
        <w:t> 2025 </w:t>
      </w:r>
      <w:r>
        <w:rPr>
          <w:rFonts w:hint="eastAsia"/>
        </w:rPr>
        <w:t>г</w:t>
      </w:r>
      <w:r>
        <w:t>ода</w:t>
      </w:r>
      <w:r>
        <w:rPr>
          <w:rFonts w:hint="eastAsia"/>
        </w:rPr>
        <w:t xml:space="preserve"> учетной политики Группы Газпром в части обязательств</w:t>
      </w:r>
      <w:r>
        <w:t xml:space="preserve"> </w:t>
      </w:r>
      <w:r>
        <w:rPr>
          <w:rFonts w:hint="eastAsia"/>
        </w:rPr>
        <w:t>по</w:t>
      </w:r>
      <w:r>
        <w:t xml:space="preserve"> </w:t>
      </w:r>
      <w:r>
        <w:rPr>
          <w:rFonts w:hint="eastAsia"/>
        </w:rPr>
        <w:t>финансированию</w:t>
      </w:r>
      <w:r>
        <w:t xml:space="preserve"> </w:t>
      </w:r>
      <w:r>
        <w:rPr>
          <w:rFonts w:hint="eastAsia"/>
        </w:rPr>
        <w:t>строительства</w:t>
      </w:r>
      <w:r>
        <w:t>, в результате которого д</w:t>
      </w:r>
      <w:r>
        <w:rPr>
          <w:rFonts w:hint="eastAsia"/>
          <w:szCs w:val="18"/>
        </w:rPr>
        <w:t>енежный</w:t>
      </w:r>
      <w:r>
        <w:rPr>
          <w:szCs w:val="18"/>
        </w:rPr>
        <w:t xml:space="preserve"> </w:t>
      </w:r>
      <w:r>
        <w:rPr>
          <w:rFonts w:hint="eastAsia"/>
          <w:szCs w:val="18"/>
        </w:rPr>
        <w:t>поток</w:t>
      </w:r>
      <w:r>
        <w:rPr>
          <w:szCs w:val="18"/>
        </w:rPr>
        <w:t xml:space="preserve"> </w:t>
      </w:r>
      <w:r>
        <w:rPr>
          <w:rFonts w:hint="eastAsia"/>
          <w:szCs w:val="18"/>
        </w:rPr>
        <w:t>в</w:t>
      </w:r>
      <w:r>
        <w:rPr>
          <w:szCs w:val="18"/>
        </w:rPr>
        <w:t xml:space="preserve"> </w:t>
      </w:r>
      <w:r>
        <w:rPr>
          <w:rFonts w:hint="eastAsia"/>
          <w:szCs w:val="18"/>
        </w:rPr>
        <w:t>сумме</w:t>
      </w:r>
      <w:r>
        <w:rPr>
          <w:szCs w:val="18"/>
        </w:rPr>
        <w:t xml:space="preserve"> 61 429 </w:t>
      </w:r>
      <w:r>
        <w:rPr>
          <w:rFonts w:hint="eastAsia"/>
          <w:szCs w:val="18"/>
        </w:rPr>
        <w:t>млн</w:t>
      </w:r>
      <w:r>
        <w:rPr>
          <w:szCs w:val="18"/>
        </w:rPr>
        <w:t> </w:t>
      </w:r>
      <w:r>
        <w:rPr>
          <w:rFonts w:hint="eastAsia"/>
          <w:szCs w:val="18"/>
        </w:rPr>
        <w:t>руб</w:t>
      </w:r>
      <w:r>
        <w:rPr>
          <w:szCs w:val="18"/>
        </w:rPr>
        <w:t xml:space="preserve">. </w:t>
      </w:r>
      <w:r>
        <w:rPr>
          <w:rFonts w:hint="eastAsia"/>
          <w:szCs w:val="18"/>
        </w:rPr>
        <w:t>за</w:t>
      </w:r>
      <w:r>
        <w:rPr>
          <w:szCs w:val="18"/>
        </w:rPr>
        <w:t xml:space="preserve"> год, </w:t>
      </w:r>
      <w:r>
        <w:rPr>
          <w:rFonts w:hint="eastAsia"/>
          <w:szCs w:val="18"/>
        </w:rPr>
        <w:t>закончившийся</w:t>
      </w:r>
      <w:r>
        <w:rPr>
          <w:szCs w:val="18"/>
        </w:rPr>
        <w:t xml:space="preserve"> 31 </w:t>
      </w:r>
      <w:r>
        <w:rPr>
          <w:rFonts w:hint="eastAsia"/>
          <w:szCs w:val="18"/>
        </w:rPr>
        <w:t>декабря</w:t>
      </w:r>
      <w:r>
        <w:rPr>
          <w:szCs w:val="18"/>
        </w:rPr>
        <w:t> 2024 </w:t>
      </w:r>
      <w:r>
        <w:rPr>
          <w:rFonts w:hint="eastAsia"/>
          <w:szCs w:val="18"/>
        </w:rPr>
        <w:t>г</w:t>
      </w:r>
      <w:r>
        <w:rPr>
          <w:szCs w:val="18"/>
        </w:rPr>
        <w:t xml:space="preserve">ода, </w:t>
      </w:r>
      <w:r>
        <w:rPr>
          <w:rFonts w:hint="eastAsia"/>
          <w:szCs w:val="18"/>
        </w:rPr>
        <w:t>в</w:t>
      </w:r>
      <w:r>
        <w:rPr>
          <w:szCs w:val="18"/>
        </w:rPr>
        <w:t xml:space="preserve"> </w:t>
      </w:r>
      <w:r>
        <w:rPr>
          <w:rFonts w:hint="eastAsia"/>
          <w:szCs w:val="18"/>
        </w:rPr>
        <w:t>консолидированном</w:t>
      </w:r>
      <w:r>
        <w:rPr>
          <w:szCs w:val="18"/>
        </w:rPr>
        <w:t xml:space="preserve"> </w:t>
      </w:r>
      <w:r>
        <w:rPr>
          <w:rFonts w:hint="eastAsia"/>
          <w:szCs w:val="18"/>
        </w:rPr>
        <w:t>отчете</w:t>
      </w:r>
      <w:r>
        <w:rPr>
          <w:szCs w:val="18"/>
        </w:rPr>
        <w:t xml:space="preserve"> </w:t>
      </w:r>
      <w:r>
        <w:rPr>
          <w:rFonts w:hint="eastAsia"/>
          <w:szCs w:val="18"/>
        </w:rPr>
        <w:t>о</w:t>
      </w:r>
      <w:r>
        <w:rPr>
          <w:szCs w:val="18"/>
        </w:rPr>
        <w:t xml:space="preserve"> </w:t>
      </w:r>
      <w:r>
        <w:rPr>
          <w:rFonts w:hint="eastAsia"/>
          <w:szCs w:val="18"/>
        </w:rPr>
        <w:t>движении</w:t>
      </w:r>
      <w:r>
        <w:rPr>
          <w:szCs w:val="18"/>
        </w:rPr>
        <w:t xml:space="preserve"> </w:t>
      </w:r>
      <w:r>
        <w:rPr>
          <w:rFonts w:hint="eastAsia"/>
          <w:szCs w:val="18"/>
        </w:rPr>
        <w:t>денежных</w:t>
      </w:r>
      <w:r>
        <w:rPr>
          <w:szCs w:val="18"/>
        </w:rPr>
        <w:t xml:space="preserve"> </w:t>
      </w:r>
      <w:r>
        <w:rPr>
          <w:rFonts w:hint="eastAsia"/>
          <w:szCs w:val="18"/>
        </w:rPr>
        <w:t>средств был реклассифицирован</w:t>
      </w:r>
      <w:r>
        <w:rPr>
          <w:szCs w:val="18"/>
        </w:rPr>
        <w:t xml:space="preserve"> </w:t>
      </w:r>
      <w:r>
        <w:rPr>
          <w:rFonts w:hint="eastAsia"/>
          <w:szCs w:val="18"/>
        </w:rPr>
        <w:t>из</w:t>
      </w:r>
      <w:r>
        <w:rPr>
          <w:szCs w:val="18"/>
        </w:rPr>
        <w:t xml:space="preserve"> </w:t>
      </w:r>
      <w:r>
        <w:rPr>
          <w:rFonts w:hint="eastAsia"/>
          <w:szCs w:val="18"/>
        </w:rPr>
        <w:t>статьи</w:t>
      </w:r>
      <w:r>
        <w:rPr>
          <w:szCs w:val="18"/>
        </w:rPr>
        <w:t xml:space="preserve"> «</w:t>
      </w:r>
      <w:r>
        <w:rPr>
          <w:rFonts w:hint="eastAsia"/>
          <w:szCs w:val="18"/>
        </w:rPr>
        <w:t>Капитальные вложения»</w:t>
      </w:r>
      <w:r>
        <w:rPr>
          <w:szCs w:val="18"/>
        </w:rPr>
        <w:t xml:space="preserve"> </w:t>
      </w:r>
      <w:r>
        <w:rPr>
          <w:rFonts w:hint="eastAsia"/>
          <w:szCs w:val="18"/>
        </w:rPr>
        <w:t>в</w:t>
      </w:r>
      <w:r>
        <w:rPr>
          <w:szCs w:val="18"/>
        </w:rPr>
        <w:t xml:space="preserve"> </w:t>
      </w:r>
      <w:r>
        <w:rPr>
          <w:rFonts w:hint="eastAsia"/>
          <w:szCs w:val="18"/>
        </w:rPr>
        <w:t>статью</w:t>
      </w:r>
      <w:r>
        <w:rPr>
          <w:szCs w:val="18"/>
        </w:rPr>
        <w:t xml:space="preserve"> «</w:t>
      </w:r>
      <w:r>
        <w:rPr>
          <w:rFonts w:hint="eastAsia"/>
          <w:szCs w:val="18"/>
        </w:rPr>
        <w:t>Погашение</w:t>
      </w:r>
      <w:r>
        <w:rPr>
          <w:szCs w:val="18"/>
        </w:rPr>
        <w:t xml:space="preserve"> </w:t>
      </w:r>
      <w:r>
        <w:rPr>
          <w:rFonts w:hint="eastAsia"/>
          <w:szCs w:val="18"/>
        </w:rPr>
        <w:t>обязательств</w:t>
      </w:r>
      <w:r>
        <w:rPr>
          <w:szCs w:val="18"/>
        </w:rPr>
        <w:t xml:space="preserve"> </w:t>
      </w:r>
      <w:r>
        <w:rPr>
          <w:rFonts w:hint="eastAsia"/>
          <w:szCs w:val="18"/>
        </w:rPr>
        <w:t>по</w:t>
      </w:r>
      <w:r>
        <w:rPr>
          <w:szCs w:val="18"/>
        </w:rPr>
        <w:t xml:space="preserve"> </w:t>
      </w:r>
      <w:r>
        <w:rPr>
          <w:rFonts w:hint="eastAsia"/>
          <w:szCs w:val="18"/>
        </w:rPr>
        <w:t>финансированию</w:t>
      </w:r>
      <w:r>
        <w:rPr>
          <w:szCs w:val="18"/>
        </w:rPr>
        <w:t xml:space="preserve"> </w:t>
      </w:r>
      <w:r>
        <w:rPr>
          <w:rFonts w:hint="eastAsia"/>
          <w:szCs w:val="18"/>
        </w:rPr>
        <w:t>строительства»</w:t>
      </w:r>
      <w:r>
        <w:rPr>
          <w:szCs w:val="18"/>
        </w:rPr>
        <w:t>.</w:t>
      </w:r>
    </w:p>
  </w:footnote>
  <w:footnote w:id="5">
    <w:p w:rsidR="009F633F" w:rsidRDefault="009F633F">
      <w:pPr>
        <w:pStyle w:val="af4"/>
        <w:spacing w:line="216" w:lineRule="auto"/>
        <w:jc w:val="both"/>
        <w:rPr>
          <w:sz w:val="24"/>
          <w:szCs w:val="24"/>
        </w:rPr>
      </w:pPr>
      <w:r>
        <w:rPr>
          <w:rStyle w:val="af6"/>
          <w:rFonts w:eastAsia="Arial"/>
        </w:rPr>
        <w:footnoteRef/>
      </w:r>
      <w:r>
        <w:rPr>
          <w:szCs w:val="24"/>
        </w:rPr>
        <w:t xml:space="preserve">Утвержден решением годового Общего собрания акционеров ОАО «Газпром» </w:t>
      </w:r>
      <w:r>
        <w:rPr>
          <w:spacing w:val="-4"/>
          <w:szCs w:val="24"/>
        </w:rPr>
        <w:t>от 26 июня 2015 г., протокол № 1 (с последующими изменениями).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633F" w:rsidRDefault="009F633F">
    <w:pPr>
      <w:pStyle w:val="ac"/>
      <w:jc w:val="right"/>
    </w:pPr>
    <w:r>
      <w:fldChar w:fldCharType="begin"/>
    </w:r>
    <w:r>
      <w:instrText>PAGE   \* MERGEFORMAT</w:instrText>
    </w:r>
    <w:r>
      <w:fldChar w:fldCharType="separate"/>
    </w:r>
    <w:r w:rsidR="00FA444A">
      <w:rPr>
        <w:noProof/>
      </w:rPr>
      <w:t>2</w:t>
    </w:r>
    <w:r>
      <w:fldChar w:fldCharType="end"/>
    </w:r>
  </w:p>
  <w:p w:rsidR="009F633F" w:rsidRDefault="009F633F">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61069"/>
    <w:multiLevelType w:val="hybridMultilevel"/>
    <w:tmpl w:val="97D437AC"/>
    <w:lvl w:ilvl="0" w:tplc="42F05F0C">
      <w:start w:val="1"/>
      <w:numFmt w:val="bullet"/>
      <w:lvlText w:val=""/>
      <w:lvlJc w:val="left"/>
      <w:pPr>
        <w:tabs>
          <w:tab w:val="num" w:pos="0"/>
        </w:tabs>
        <w:ind w:left="862" w:hanging="360"/>
      </w:pPr>
      <w:rPr>
        <w:rFonts w:ascii="Symbol" w:hAnsi="Symbol" w:cs="Symbol" w:hint="default"/>
        <w:color w:val="000000"/>
      </w:rPr>
    </w:lvl>
    <w:lvl w:ilvl="1" w:tplc="E604BE60">
      <w:start w:val="1"/>
      <w:numFmt w:val="bullet"/>
      <w:lvlText w:val="o"/>
      <w:lvlJc w:val="left"/>
      <w:pPr>
        <w:tabs>
          <w:tab w:val="num" w:pos="0"/>
        </w:tabs>
        <w:ind w:left="1582" w:hanging="360"/>
      </w:pPr>
      <w:rPr>
        <w:rFonts w:ascii="Courier New" w:hAnsi="Courier New" w:cs="Courier New" w:hint="default"/>
      </w:rPr>
    </w:lvl>
    <w:lvl w:ilvl="2" w:tplc="23FA7FA2">
      <w:start w:val="1"/>
      <w:numFmt w:val="bullet"/>
      <w:lvlText w:val=""/>
      <w:lvlJc w:val="left"/>
      <w:pPr>
        <w:tabs>
          <w:tab w:val="num" w:pos="0"/>
        </w:tabs>
        <w:ind w:left="2302" w:hanging="360"/>
      </w:pPr>
      <w:rPr>
        <w:rFonts w:ascii="Wingdings" w:hAnsi="Wingdings" w:cs="Wingdings" w:hint="default"/>
      </w:rPr>
    </w:lvl>
    <w:lvl w:ilvl="3" w:tplc="F7CC0246">
      <w:start w:val="1"/>
      <w:numFmt w:val="bullet"/>
      <w:lvlText w:val=""/>
      <w:lvlJc w:val="left"/>
      <w:pPr>
        <w:tabs>
          <w:tab w:val="num" w:pos="0"/>
        </w:tabs>
        <w:ind w:left="3022" w:hanging="360"/>
      </w:pPr>
      <w:rPr>
        <w:rFonts w:ascii="Symbol" w:hAnsi="Symbol" w:cs="Symbol" w:hint="default"/>
      </w:rPr>
    </w:lvl>
    <w:lvl w:ilvl="4" w:tplc="B394D074">
      <w:start w:val="1"/>
      <w:numFmt w:val="bullet"/>
      <w:lvlText w:val="o"/>
      <w:lvlJc w:val="left"/>
      <w:pPr>
        <w:tabs>
          <w:tab w:val="num" w:pos="0"/>
        </w:tabs>
        <w:ind w:left="3742" w:hanging="360"/>
      </w:pPr>
      <w:rPr>
        <w:rFonts w:ascii="Courier New" w:hAnsi="Courier New" w:cs="Courier New" w:hint="default"/>
      </w:rPr>
    </w:lvl>
    <w:lvl w:ilvl="5" w:tplc="7910F846">
      <w:start w:val="1"/>
      <w:numFmt w:val="bullet"/>
      <w:lvlText w:val=""/>
      <w:lvlJc w:val="left"/>
      <w:pPr>
        <w:tabs>
          <w:tab w:val="num" w:pos="0"/>
        </w:tabs>
        <w:ind w:left="4462" w:hanging="360"/>
      </w:pPr>
      <w:rPr>
        <w:rFonts w:ascii="Wingdings" w:hAnsi="Wingdings" w:cs="Wingdings" w:hint="default"/>
      </w:rPr>
    </w:lvl>
    <w:lvl w:ilvl="6" w:tplc="3DECFFB0">
      <w:start w:val="1"/>
      <w:numFmt w:val="bullet"/>
      <w:lvlText w:val=""/>
      <w:lvlJc w:val="left"/>
      <w:pPr>
        <w:tabs>
          <w:tab w:val="num" w:pos="0"/>
        </w:tabs>
        <w:ind w:left="5182" w:hanging="360"/>
      </w:pPr>
      <w:rPr>
        <w:rFonts w:ascii="Symbol" w:hAnsi="Symbol" w:cs="Symbol" w:hint="default"/>
      </w:rPr>
    </w:lvl>
    <w:lvl w:ilvl="7" w:tplc="A914FA4C">
      <w:start w:val="1"/>
      <w:numFmt w:val="bullet"/>
      <w:lvlText w:val="o"/>
      <w:lvlJc w:val="left"/>
      <w:pPr>
        <w:tabs>
          <w:tab w:val="num" w:pos="0"/>
        </w:tabs>
        <w:ind w:left="5902" w:hanging="360"/>
      </w:pPr>
      <w:rPr>
        <w:rFonts w:ascii="Courier New" w:hAnsi="Courier New" w:cs="Courier New" w:hint="default"/>
      </w:rPr>
    </w:lvl>
    <w:lvl w:ilvl="8" w:tplc="BEAEAF32">
      <w:start w:val="1"/>
      <w:numFmt w:val="bullet"/>
      <w:lvlText w:val=""/>
      <w:lvlJc w:val="left"/>
      <w:pPr>
        <w:tabs>
          <w:tab w:val="num" w:pos="0"/>
        </w:tabs>
        <w:ind w:left="6622" w:hanging="360"/>
      </w:pPr>
      <w:rPr>
        <w:rFonts w:ascii="Wingdings" w:hAnsi="Wingdings" w:cs="Wingdings" w:hint="default"/>
      </w:rPr>
    </w:lvl>
  </w:abstractNum>
  <w:abstractNum w:abstractNumId="1" w15:restartNumberingAfterBreak="0">
    <w:nsid w:val="019426C9"/>
    <w:multiLevelType w:val="hybridMultilevel"/>
    <w:tmpl w:val="6194F5F0"/>
    <w:lvl w:ilvl="0" w:tplc="9EF81E9C">
      <w:start w:val="1"/>
      <w:numFmt w:val="bullet"/>
      <w:lvlText w:val=""/>
      <w:lvlJc w:val="left"/>
      <w:pPr>
        <w:ind w:left="862" w:hanging="360"/>
      </w:pPr>
      <w:rPr>
        <w:rFonts w:ascii="Symbol" w:hAnsi="Symbol"/>
        <w:color w:val="000000"/>
      </w:rPr>
    </w:lvl>
    <w:lvl w:ilvl="1" w:tplc="C24EAA0E">
      <w:start w:val="1"/>
      <w:numFmt w:val="bullet"/>
      <w:lvlText w:val="o"/>
      <w:lvlJc w:val="left"/>
      <w:pPr>
        <w:ind w:left="1582" w:hanging="360"/>
      </w:pPr>
      <w:rPr>
        <w:rFonts w:ascii="Courier New" w:hAnsi="Courier New" w:cs="Courier New"/>
      </w:rPr>
    </w:lvl>
    <w:lvl w:ilvl="2" w:tplc="6F0A649E">
      <w:start w:val="1"/>
      <w:numFmt w:val="bullet"/>
      <w:lvlText w:val=""/>
      <w:lvlJc w:val="left"/>
      <w:pPr>
        <w:ind w:left="2302" w:hanging="360"/>
      </w:pPr>
      <w:rPr>
        <w:rFonts w:ascii="Wingdings" w:hAnsi="Wingdings"/>
      </w:rPr>
    </w:lvl>
    <w:lvl w:ilvl="3" w:tplc="60DC47AC">
      <w:start w:val="1"/>
      <w:numFmt w:val="bullet"/>
      <w:lvlText w:val=""/>
      <w:lvlJc w:val="left"/>
      <w:pPr>
        <w:ind w:left="3022" w:hanging="360"/>
      </w:pPr>
      <w:rPr>
        <w:rFonts w:ascii="Symbol" w:hAnsi="Symbol"/>
      </w:rPr>
    </w:lvl>
    <w:lvl w:ilvl="4" w:tplc="15F84C62">
      <w:start w:val="1"/>
      <w:numFmt w:val="bullet"/>
      <w:lvlText w:val="o"/>
      <w:lvlJc w:val="left"/>
      <w:pPr>
        <w:ind w:left="3742" w:hanging="360"/>
      </w:pPr>
      <w:rPr>
        <w:rFonts w:ascii="Courier New" w:hAnsi="Courier New" w:cs="Courier New"/>
      </w:rPr>
    </w:lvl>
    <w:lvl w:ilvl="5" w:tplc="C5A01612">
      <w:start w:val="1"/>
      <w:numFmt w:val="bullet"/>
      <w:lvlText w:val=""/>
      <w:lvlJc w:val="left"/>
      <w:pPr>
        <w:ind w:left="4462" w:hanging="360"/>
      </w:pPr>
      <w:rPr>
        <w:rFonts w:ascii="Wingdings" w:hAnsi="Wingdings"/>
      </w:rPr>
    </w:lvl>
    <w:lvl w:ilvl="6" w:tplc="0EFE6792">
      <w:start w:val="1"/>
      <w:numFmt w:val="bullet"/>
      <w:lvlText w:val=""/>
      <w:lvlJc w:val="left"/>
      <w:pPr>
        <w:ind w:left="5182" w:hanging="360"/>
      </w:pPr>
      <w:rPr>
        <w:rFonts w:ascii="Symbol" w:hAnsi="Symbol"/>
      </w:rPr>
    </w:lvl>
    <w:lvl w:ilvl="7" w:tplc="CC9039D4">
      <w:start w:val="1"/>
      <w:numFmt w:val="bullet"/>
      <w:lvlText w:val="o"/>
      <w:lvlJc w:val="left"/>
      <w:pPr>
        <w:ind w:left="5902" w:hanging="360"/>
      </w:pPr>
      <w:rPr>
        <w:rFonts w:ascii="Courier New" w:hAnsi="Courier New" w:cs="Courier New"/>
      </w:rPr>
    </w:lvl>
    <w:lvl w:ilvl="8" w:tplc="FF20220A">
      <w:start w:val="1"/>
      <w:numFmt w:val="bullet"/>
      <w:lvlText w:val=""/>
      <w:lvlJc w:val="left"/>
      <w:pPr>
        <w:ind w:left="6622" w:hanging="360"/>
      </w:pPr>
      <w:rPr>
        <w:rFonts w:ascii="Wingdings" w:hAnsi="Wingdings"/>
      </w:rPr>
    </w:lvl>
  </w:abstractNum>
  <w:abstractNum w:abstractNumId="2" w15:restartNumberingAfterBreak="0">
    <w:nsid w:val="04270992"/>
    <w:multiLevelType w:val="hybridMultilevel"/>
    <w:tmpl w:val="C324E524"/>
    <w:lvl w:ilvl="0" w:tplc="527A9A8E">
      <w:start w:val="1"/>
      <w:numFmt w:val="decimal"/>
      <w:lvlText w:val="%1."/>
      <w:lvlJc w:val="left"/>
      <w:pPr>
        <w:ind w:left="720" w:hanging="360"/>
      </w:pPr>
    </w:lvl>
    <w:lvl w:ilvl="1" w:tplc="BECC3D06">
      <w:start w:val="1"/>
      <w:numFmt w:val="lowerLetter"/>
      <w:lvlText w:val="%2."/>
      <w:lvlJc w:val="left"/>
      <w:pPr>
        <w:ind w:left="1440" w:hanging="360"/>
      </w:pPr>
    </w:lvl>
    <w:lvl w:ilvl="2" w:tplc="5D8EAA5A">
      <w:start w:val="1"/>
      <w:numFmt w:val="lowerRoman"/>
      <w:lvlText w:val="%3."/>
      <w:lvlJc w:val="right"/>
      <w:pPr>
        <w:ind w:left="2160" w:hanging="180"/>
      </w:pPr>
    </w:lvl>
    <w:lvl w:ilvl="3" w:tplc="C784CDC0">
      <w:start w:val="1"/>
      <w:numFmt w:val="decimal"/>
      <w:lvlText w:val="%4."/>
      <w:lvlJc w:val="left"/>
      <w:pPr>
        <w:ind w:left="2880" w:hanging="360"/>
      </w:pPr>
    </w:lvl>
    <w:lvl w:ilvl="4" w:tplc="BAFE389E">
      <w:start w:val="1"/>
      <w:numFmt w:val="lowerLetter"/>
      <w:lvlText w:val="%5."/>
      <w:lvlJc w:val="left"/>
      <w:pPr>
        <w:ind w:left="3600" w:hanging="360"/>
      </w:pPr>
    </w:lvl>
    <w:lvl w:ilvl="5" w:tplc="55586D0E">
      <w:start w:val="1"/>
      <w:numFmt w:val="lowerRoman"/>
      <w:lvlText w:val="%6."/>
      <w:lvlJc w:val="right"/>
      <w:pPr>
        <w:ind w:left="4320" w:hanging="180"/>
      </w:pPr>
    </w:lvl>
    <w:lvl w:ilvl="6" w:tplc="24DC520A">
      <w:start w:val="1"/>
      <w:numFmt w:val="decimal"/>
      <w:lvlText w:val="%7."/>
      <w:lvlJc w:val="left"/>
      <w:pPr>
        <w:ind w:left="5040" w:hanging="360"/>
      </w:pPr>
    </w:lvl>
    <w:lvl w:ilvl="7" w:tplc="A9C43D94">
      <w:start w:val="1"/>
      <w:numFmt w:val="lowerLetter"/>
      <w:lvlText w:val="%8."/>
      <w:lvlJc w:val="left"/>
      <w:pPr>
        <w:ind w:left="5760" w:hanging="360"/>
      </w:pPr>
    </w:lvl>
    <w:lvl w:ilvl="8" w:tplc="A93A8046">
      <w:start w:val="1"/>
      <w:numFmt w:val="lowerRoman"/>
      <w:lvlText w:val="%9."/>
      <w:lvlJc w:val="right"/>
      <w:pPr>
        <w:ind w:left="6480" w:hanging="180"/>
      </w:pPr>
    </w:lvl>
  </w:abstractNum>
  <w:abstractNum w:abstractNumId="3" w15:restartNumberingAfterBreak="0">
    <w:nsid w:val="07BD0F3C"/>
    <w:multiLevelType w:val="hybridMultilevel"/>
    <w:tmpl w:val="37F64BB0"/>
    <w:lvl w:ilvl="0" w:tplc="FB64DC3A">
      <w:start w:val="1"/>
      <w:numFmt w:val="bullet"/>
      <w:lvlText w:val=""/>
      <w:lvlJc w:val="left"/>
      <w:pPr>
        <w:ind w:left="1004" w:hanging="360"/>
      </w:pPr>
      <w:rPr>
        <w:rFonts w:ascii="Symbol" w:hAnsi="Symbol"/>
        <w:color w:val="000000"/>
      </w:rPr>
    </w:lvl>
    <w:lvl w:ilvl="1" w:tplc="38020CBA">
      <w:start w:val="1"/>
      <w:numFmt w:val="bullet"/>
      <w:lvlText w:val="o"/>
      <w:lvlJc w:val="left"/>
      <w:pPr>
        <w:ind w:left="1724" w:hanging="360"/>
      </w:pPr>
      <w:rPr>
        <w:rFonts w:ascii="Courier New" w:hAnsi="Courier New"/>
      </w:rPr>
    </w:lvl>
    <w:lvl w:ilvl="2" w:tplc="76F88FA2">
      <w:start w:val="1"/>
      <w:numFmt w:val="bullet"/>
      <w:lvlText w:val=""/>
      <w:lvlJc w:val="left"/>
      <w:pPr>
        <w:ind w:left="2444" w:hanging="360"/>
      </w:pPr>
      <w:rPr>
        <w:rFonts w:ascii="Wingdings" w:hAnsi="Wingdings"/>
      </w:rPr>
    </w:lvl>
    <w:lvl w:ilvl="3" w:tplc="A4328E42">
      <w:start w:val="1"/>
      <w:numFmt w:val="bullet"/>
      <w:lvlText w:val=""/>
      <w:lvlJc w:val="left"/>
      <w:pPr>
        <w:ind w:left="3164" w:hanging="360"/>
      </w:pPr>
      <w:rPr>
        <w:rFonts w:ascii="Symbol" w:hAnsi="Symbol"/>
      </w:rPr>
    </w:lvl>
    <w:lvl w:ilvl="4" w:tplc="0ACED412">
      <w:start w:val="1"/>
      <w:numFmt w:val="bullet"/>
      <w:lvlText w:val="o"/>
      <w:lvlJc w:val="left"/>
      <w:pPr>
        <w:ind w:left="3884" w:hanging="360"/>
      </w:pPr>
      <w:rPr>
        <w:rFonts w:ascii="Courier New" w:hAnsi="Courier New"/>
      </w:rPr>
    </w:lvl>
    <w:lvl w:ilvl="5" w:tplc="674A20E0">
      <w:start w:val="1"/>
      <w:numFmt w:val="bullet"/>
      <w:lvlText w:val=""/>
      <w:lvlJc w:val="left"/>
      <w:pPr>
        <w:ind w:left="4604" w:hanging="360"/>
      </w:pPr>
      <w:rPr>
        <w:rFonts w:ascii="Wingdings" w:hAnsi="Wingdings"/>
      </w:rPr>
    </w:lvl>
    <w:lvl w:ilvl="6" w:tplc="78F4859A">
      <w:start w:val="1"/>
      <w:numFmt w:val="bullet"/>
      <w:lvlText w:val=""/>
      <w:lvlJc w:val="left"/>
      <w:pPr>
        <w:ind w:left="5324" w:hanging="360"/>
      </w:pPr>
      <w:rPr>
        <w:rFonts w:ascii="Symbol" w:hAnsi="Symbol"/>
      </w:rPr>
    </w:lvl>
    <w:lvl w:ilvl="7" w:tplc="D958A374">
      <w:start w:val="1"/>
      <w:numFmt w:val="bullet"/>
      <w:lvlText w:val="o"/>
      <w:lvlJc w:val="left"/>
      <w:pPr>
        <w:ind w:left="6044" w:hanging="360"/>
      </w:pPr>
      <w:rPr>
        <w:rFonts w:ascii="Courier New" w:hAnsi="Courier New"/>
      </w:rPr>
    </w:lvl>
    <w:lvl w:ilvl="8" w:tplc="2006F78A">
      <w:start w:val="1"/>
      <w:numFmt w:val="bullet"/>
      <w:lvlText w:val=""/>
      <w:lvlJc w:val="left"/>
      <w:pPr>
        <w:ind w:left="6764" w:hanging="360"/>
      </w:pPr>
      <w:rPr>
        <w:rFonts w:ascii="Wingdings" w:hAnsi="Wingdings"/>
      </w:rPr>
    </w:lvl>
  </w:abstractNum>
  <w:abstractNum w:abstractNumId="4" w15:restartNumberingAfterBreak="0">
    <w:nsid w:val="0843255C"/>
    <w:multiLevelType w:val="hybridMultilevel"/>
    <w:tmpl w:val="EBBE86CA"/>
    <w:lvl w:ilvl="0" w:tplc="62805B3C">
      <w:start w:val="1"/>
      <w:numFmt w:val="bullet"/>
      <w:lvlText w:val="-"/>
      <w:lvlJc w:val="left"/>
      <w:rPr>
        <w:rFonts w:ascii="Courier New" w:hAnsi="Courier New" w:hint="default"/>
        <w:sz w:val="18"/>
      </w:rPr>
    </w:lvl>
    <w:lvl w:ilvl="1" w:tplc="A01E22D0">
      <w:start w:val="1"/>
      <w:numFmt w:val="bullet"/>
      <w:lvlText w:val="o"/>
      <w:lvlJc w:val="left"/>
      <w:rPr>
        <w:rFonts w:ascii="Courier New" w:hAnsi="Courier New"/>
        <w:sz w:val="24"/>
      </w:rPr>
    </w:lvl>
    <w:lvl w:ilvl="2" w:tplc="0B2A964E">
      <w:start w:val="1"/>
      <w:numFmt w:val="bullet"/>
      <w:lvlText w:val="§"/>
      <w:lvlJc w:val="left"/>
      <w:rPr>
        <w:sz w:val="24"/>
      </w:rPr>
    </w:lvl>
    <w:lvl w:ilvl="3" w:tplc="A8C62D84">
      <w:start w:val="1"/>
      <w:numFmt w:val="bullet"/>
      <w:lvlText w:val="·"/>
      <w:lvlJc w:val="left"/>
      <w:rPr>
        <w:rFonts w:ascii="Arial" w:hAnsi="Arial"/>
        <w:sz w:val="24"/>
      </w:rPr>
    </w:lvl>
    <w:lvl w:ilvl="4" w:tplc="A8A691D8">
      <w:start w:val="1"/>
      <w:numFmt w:val="bullet"/>
      <w:lvlText w:val="o"/>
      <w:lvlJc w:val="left"/>
      <w:rPr>
        <w:rFonts w:ascii="Courier New" w:hAnsi="Courier New"/>
        <w:sz w:val="24"/>
      </w:rPr>
    </w:lvl>
    <w:lvl w:ilvl="5" w:tplc="78E0942C">
      <w:start w:val="1"/>
      <w:numFmt w:val="bullet"/>
      <w:lvlText w:val="§"/>
      <w:lvlJc w:val="left"/>
      <w:rPr>
        <w:sz w:val="24"/>
      </w:rPr>
    </w:lvl>
    <w:lvl w:ilvl="6" w:tplc="D3CAA2B2">
      <w:start w:val="1"/>
      <w:numFmt w:val="bullet"/>
      <w:lvlText w:val="·"/>
      <w:lvlJc w:val="left"/>
      <w:rPr>
        <w:rFonts w:ascii="Arial" w:hAnsi="Arial"/>
        <w:sz w:val="24"/>
      </w:rPr>
    </w:lvl>
    <w:lvl w:ilvl="7" w:tplc="38208BDE">
      <w:start w:val="1"/>
      <w:numFmt w:val="bullet"/>
      <w:lvlText w:val="o"/>
      <w:lvlJc w:val="left"/>
      <w:rPr>
        <w:rFonts w:ascii="Courier New" w:hAnsi="Courier New"/>
        <w:sz w:val="24"/>
      </w:rPr>
    </w:lvl>
    <w:lvl w:ilvl="8" w:tplc="5B16D316">
      <w:start w:val="1"/>
      <w:numFmt w:val="bullet"/>
      <w:lvlText w:val="§"/>
      <w:lvlJc w:val="left"/>
      <w:rPr>
        <w:sz w:val="24"/>
      </w:rPr>
    </w:lvl>
  </w:abstractNum>
  <w:abstractNum w:abstractNumId="5" w15:restartNumberingAfterBreak="0">
    <w:nsid w:val="0B806BA9"/>
    <w:multiLevelType w:val="hybridMultilevel"/>
    <w:tmpl w:val="19B8FBC6"/>
    <w:lvl w:ilvl="0" w:tplc="6808952A">
      <w:start w:val="1"/>
      <w:numFmt w:val="bullet"/>
      <w:lvlText w:val="-"/>
      <w:lvlJc w:val="left"/>
      <w:rPr>
        <w:rFonts w:ascii="Courier New" w:hAnsi="Courier New"/>
        <w:sz w:val="18"/>
      </w:rPr>
    </w:lvl>
    <w:lvl w:ilvl="1" w:tplc="DFD8E1F6">
      <w:start w:val="1"/>
      <w:numFmt w:val="bullet"/>
      <w:lvlText w:val="o"/>
      <w:lvlJc w:val="left"/>
      <w:rPr>
        <w:rFonts w:ascii="Courier New" w:hAnsi="Courier New"/>
        <w:sz w:val="24"/>
      </w:rPr>
    </w:lvl>
    <w:lvl w:ilvl="2" w:tplc="1BBEB712">
      <w:start w:val="1"/>
      <w:numFmt w:val="bullet"/>
      <w:lvlText w:val="§"/>
      <w:lvlJc w:val="left"/>
      <w:rPr>
        <w:sz w:val="24"/>
      </w:rPr>
    </w:lvl>
    <w:lvl w:ilvl="3" w:tplc="DFB26F42">
      <w:start w:val="1"/>
      <w:numFmt w:val="bullet"/>
      <w:lvlText w:val="·"/>
      <w:lvlJc w:val="left"/>
      <w:rPr>
        <w:rFonts w:ascii="Arial" w:hAnsi="Arial"/>
        <w:sz w:val="24"/>
      </w:rPr>
    </w:lvl>
    <w:lvl w:ilvl="4" w:tplc="AB9E48AC">
      <w:start w:val="1"/>
      <w:numFmt w:val="bullet"/>
      <w:lvlText w:val="o"/>
      <w:lvlJc w:val="left"/>
      <w:rPr>
        <w:rFonts w:ascii="Courier New" w:hAnsi="Courier New"/>
        <w:sz w:val="24"/>
      </w:rPr>
    </w:lvl>
    <w:lvl w:ilvl="5" w:tplc="467A1956">
      <w:start w:val="1"/>
      <w:numFmt w:val="bullet"/>
      <w:lvlText w:val="§"/>
      <w:lvlJc w:val="left"/>
      <w:rPr>
        <w:sz w:val="24"/>
      </w:rPr>
    </w:lvl>
    <w:lvl w:ilvl="6" w:tplc="79E47F74">
      <w:start w:val="1"/>
      <w:numFmt w:val="bullet"/>
      <w:lvlText w:val="·"/>
      <w:lvlJc w:val="left"/>
      <w:rPr>
        <w:rFonts w:ascii="Arial" w:hAnsi="Arial"/>
        <w:sz w:val="24"/>
      </w:rPr>
    </w:lvl>
    <w:lvl w:ilvl="7" w:tplc="F8EAE066">
      <w:start w:val="1"/>
      <w:numFmt w:val="bullet"/>
      <w:lvlText w:val="o"/>
      <w:lvlJc w:val="left"/>
      <w:rPr>
        <w:rFonts w:ascii="Courier New" w:hAnsi="Courier New"/>
        <w:sz w:val="24"/>
      </w:rPr>
    </w:lvl>
    <w:lvl w:ilvl="8" w:tplc="27D68E2E">
      <w:start w:val="1"/>
      <w:numFmt w:val="bullet"/>
      <w:lvlText w:val="§"/>
      <w:lvlJc w:val="left"/>
      <w:rPr>
        <w:sz w:val="24"/>
      </w:rPr>
    </w:lvl>
  </w:abstractNum>
  <w:abstractNum w:abstractNumId="6" w15:restartNumberingAfterBreak="0">
    <w:nsid w:val="10AC3E0F"/>
    <w:multiLevelType w:val="hybridMultilevel"/>
    <w:tmpl w:val="319ED036"/>
    <w:lvl w:ilvl="0" w:tplc="5E5E9AD0">
      <w:start w:val="1"/>
      <w:numFmt w:val="bullet"/>
      <w:lvlText w:val=""/>
      <w:lvlJc w:val="left"/>
      <w:pPr>
        <w:tabs>
          <w:tab w:val="num" w:pos="0"/>
        </w:tabs>
        <w:ind w:left="1004" w:hanging="360"/>
      </w:pPr>
      <w:rPr>
        <w:rFonts w:ascii="Symbol" w:hAnsi="Symbol" w:cs="Symbol" w:hint="default"/>
        <w:color w:val="000000"/>
      </w:rPr>
    </w:lvl>
    <w:lvl w:ilvl="1" w:tplc="C59EC590">
      <w:start w:val="1"/>
      <w:numFmt w:val="bullet"/>
      <w:lvlText w:val="o"/>
      <w:lvlJc w:val="left"/>
      <w:pPr>
        <w:tabs>
          <w:tab w:val="num" w:pos="0"/>
        </w:tabs>
        <w:ind w:left="1724" w:hanging="360"/>
      </w:pPr>
      <w:rPr>
        <w:rFonts w:ascii="Courier New" w:hAnsi="Courier New" w:cs="Courier New" w:hint="default"/>
      </w:rPr>
    </w:lvl>
    <w:lvl w:ilvl="2" w:tplc="A21C9FDE">
      <w:start w:val="1"/>
      <w:numFmt w:val="bullet"/>
      <w:lvlText w:val=""/>
      <w:lvlJc w:val="left"/>
      <w:pPr>
        <w:tabs>
          <w:tab w:val="num" w:pos="0"/>
        </w:tabs>
        <w:ind w:left="2444" w:hanging="360"/>
      </w:pPr>
      <w:rPr>
        <w:rFonts w:ascii="Wingdings" w:hAnsi="Wingdings" w:cs="Wingdings" w:hint="default"/>
      </w:rPr>
    </w:lvl>
    <w:lvl w:ilvl="3" w:tplc="9BC8C688">
      <w:start w:val="1"/>
      <w:numFmt w:val="bullet"/>
      <w:lvlText w:val=""/>
      <w:lvlJc w:val="left"/>
      <w:pPr>
        <w:tabs>
          <w:tab w:val="num" w:pos="0"/>
        </w:tabs>
        <w:ind w:left="3164" w:hanging="360"/>
      </w:pPr>
      <w:rPr>
        <w:rFonts w:ascii="Symbol" w:hAnsi="Symbol" w:cs="Symbol" w:hint="default"/>
      </w:rPr>
    </w:lvl>
    <w:lvl w:ilvl="4" w:tplc="CA407F86">
      <w:start w:val="1"/>
      <w:numFmt w:val="bullet"/>
      <w:lvlText w:val="o"/>
      <w:lvlJc w:val="left"/>
      <w:pPr>
        <w:tabs>
          <w:tab w:val="num" w:pos="0"/>
        </w:tabs>
        <w:ind w:left="3884" w:hanging="360"/>
      </w:pPr>
      <w:rPr>
        <w:rFonts w:ascii="Courier New" w:hAnsi="Courier New" w:cs="Courier New" w:hint="default"/>
      </w:rPr>
    </w:lvl>
    <w:lvl w:ilvl="5" w:tplc="962C924C">
      <w:start w:val="1"/>
      <w:numFmt w:val="bullet"/>
      <w:lvlText w:val=""/>
      <w:lvlJc w:val="left"/>
      <w:pPr>
        <w:tabs>
          <w:tab w:val="num" w:pos="0"/>
        </w:tabs>
        <w:ind w:left="4604" w:hanging="360"/>
      </w:pPr>
      <w:rPr>
        <w:rFonts w:ascii="Wingdings" w:hAnsi="Wingdings" w:cs="Wingdings" w:hint="default"/>
      </w:rPr>
    </w:lvl>
    <w:lvl w:ilvl="6" w:tplc="FAFADF2E">
      <w:start w:val="1"/>
      <w:numFmt w:val="bullet"/>
      <w:lvlText w:val=""/>
      <w:lvlJc w:val="left"/>
      <w:pPr>
        <w:tabs>
          <w:tab w:val="num" w:pos="0"/>
        </w:tabs>
        <w:ind w:left="5324" w:hanging="360"/>
      </w:pPr>
      <w:rPr>
        <w:rFonts w:ascii="Symbol" w:hAnsi="Symbol" w:cs="Symbol" w:hint="default"/>
      </w:rPr>
    </w:lvl>
    <w:lvl w:ilvl="7" w:tplc="83D2A1D0">
      <w:start w:val="1"/>
      <w:numFmt w:val="bullet"/>
      <w:lvlText w:val="o"/>
      <w:lvlJc w:val="left"/>
      <w:pPr>
        <w:tabs>
          <w:tab w:val="num" w:pos="0"/>
        </w:tabs>
        <w:ind w:left="6044" w:hanging="360"/>
      </w:pPr>
      <w:rPr>
        <w:rFonts w:ascii="Courier New" w:hAnsi="Courier New" w:cs="Courier New" w:hint="default"/>
      </w:rPr>
    </w:lvl>
    <w:lvl w:ilvl="8" w:tplc="3BBCF756">
      <w:start w:val="1"/>
      <w:numFmt w:val="bullet"/>
      <w:lvlText w:val=""/>
      <w:lvlJc w:val="left"/>
      <w:pPr>
        <w:tabs>
          <w:tab w:val="num" w:pos="0"/>
        </w:tabs>
        <w:ind w:left="6764" w:hanging="360"/>
      </w:pPr>
      <w:rPr>
        <w:rFonts w:ascii="Wingdings" w:hAnsi="Wingdings" w:cs="Wingdings" w:hint="default"/>
      </w:rPr>
    </w:lvl>
  </w:abstractNum>
  <w:abstractNum w:abstractNumId="7" w15:restartNumberingAfterBreak="0">
    <w:nsid w:val="14732F0F"/>
    <w:multiLevelType w:val="hybridMultilevel"/>
    <w:tmpl w:val="31B68168"/>
    <w:lvl w:ilvl="0" w:tplc="01402BA2">
      <w:start w:val="1"/>
      <w:numFmt w:val="bullet"/>
      <w:lvlText w:val=""/>
      <w:lvlJc w:val="left"/>
      <w:rPr>
        <w:rFonts w:ascii="Symbol" w:hAnsi="Symbol"/>
        <w:color w:val="000000"/>
        <w:sz w:val="24"/>
        <w:szCs w:val="24"/>
      </w:rPr>
    </w:lvl>
    <w:lvl w:ilvl="1" w:tplc="2D4AD894">
      <w:start w:val="1"/>
      <w:numFmt w:val="bullet"/>
      <w:lvlText w:val="o"/>
      <w:lvlJc w:val="left"/>
      <w:rPr>
        <w:rFonts w:ascii="Courier New" w:hAnsi="Courier New" w:cs="Courier New"/>
        <w:sz w:val="24"/>
        <w:szCs w:val="24"/>
      </w:rPr>
    </w:lvl>
    <w:lvl w:ilvl="2" w:tplc="5B4A9688">
      <w:start w:val="1"/>
      <w:numFmt w:val="bullet"/>
      <w:lvlText w:val="§"/>
      <w:lvlJc w:val="left"/>
      <w:rPr>
        <w:rFonts w:ascii="Times New Roman" w:hAnsi="Times New Roman" w:cs="Times New Roman"/>
        <w:sz w:val="24"/>
        <w:szCs w:val="24"/>
      </w:rPr>
    </w:lvl>
    <w:lvl w:ilvl="3" w:tplc="7562BADE">
      <w:start w:val="1"/>
      <w:numFmt w:val="bullet"/>
      <w:lvlText w:val="·"/>
      <w:lvlJc w:val="left"/>
      <w:rPr>
        <w:rFonts w:ascii="Times New Roman" w:hAnsi="Times New Roman" w:cs="Times New Roman"/>
        <w:sz w:val="24"/>
        <w:szCs w:val="24"/>
      </w:rPr>
    </w:lvl>
    <w:lvl w:ilvl="4" w:tplc="67463F70">
      <w:start w:val="1"/>
      <w:numFmt w:val="bullet"/>
      <w:lvlText w:val="o"/>
      <w:lvlJc w:val="left"/>
      <w:rPr>
        <w:rFonts w:ascii="Courier New" w:hAnsi="Courier New" w:cs="Courier New"/>
        <w:sz w:val="24"/>
        <w:szCs w:val="24"/>
      </w:rPr>
    </w:lvl>
    <w:lvl w:ilvl="5" w:tplc="FFB0C2F6">
      <w:start w:val="1"/>
      <w:numFmt w:val="bullet"/>
      <w:lvlText w:val="§"/>
      <w:lvlJc w:val="left"/>
      <w:rPr>
        <w:rFonts w:ascii="Times New Roman" w:hAnsi="Times New Roman" w:cs="Times New Roman"/>
        <w:sz w:val="24"/>
        <w:szCs w:val="24"/>
      </w:rPr>
    </w:lvl>
    <w:lvl w:ilvl="6" w:tplc="00A06DB2">
      <w:start w:val="1"/>
      <w:numFmt w:val="bullet"/>
      <w:lvlText w:val="·"/>
      <w:lvlJc w:val="left"/>
      <w:rPr>
        <w:rFonts w:ascii="Times New Roman" w:hAnsi="Times New Roman" w:cs="Times New Roman"/>
        <w:sz w:val="24"/>
        <w:szCs w:val="24"/>
      </w:rPr>
    </w:lvl>
    <w:lvl w:ilvl="7" w:tplc="CD025DF4">
      <w:start w:val="1"/>
      <w:numFmt w:val="bullet"/>
      <w:lvlText w:val="o"/>
      <w:lvlJc w:val="left"/>
      <w:rPr>
        <w:rFonts w:ascii="Courier New" w:hAnsi="Courier New" w:cs="Courier New"/>
        <w:sz w:val="24"/>
        <w:szCs w:val="24"/>
      </w:rPr>
    </w:lvl>
    <w:lvl w:ilvl="8" w:tplc="BCB88616">
      <w:start w:val="1"/>
      <w:numFmt w:val="bullet"/>
      <w:lvlText w:val="§"/>
      <w:lvlJc w:val="left"/>
      <w:rPr>
        <w:rFonts w:ascii="Times New Roman" w:hAnsi="Times New Roman" w:cs="Times New Roman"/>
        <w:sz w:val="24"/>
        <w:szCs w:val="24"/>
      </w:rPr>
    </w:lvl>
  </w:abstractNum>
  <w:abstractNum w:abstractNumId="8" w15:restartNumberingAfterBreak="0">
    <w:nsid w:val="1DDC44AC"/>
    <w:multiLevelType w:val="hybridMultilevel"/>
    <w:tmpl w:val="59D0E9C2"/>
    <w:lvl w:ilvl="0" w:tplc="70A4ABF0">
      <w:start w:val="1"/>
      <w:numFmt w:val="bullet"/>
      <w:lvlText w:val=""/>
      <w:lvlJc w:val="left"/>
      <w:pPr>
        <w:ind w:left="920" w:hanging="360"/>
      </w:pPr>
      <w:rPr>
        <w:rFonts w:ascii="Symbol" w:hAnsi="Symbol"/>
      </w:rPr>
    </w:lvl>
    <w:lvl w:ilvl="1" w:tplc="8A74249C">
      <w:start w:val="1"/>
      <w:numFmt w:val="bullet"/>
      <w:lvlText w:val="o"/>
      <w:lvlJc w:val="left"/>
      <w:pPr>
        <w:ind w:left="1640" w:hanging="360"/>
      </w:pPr>
      <w:rPr>
        <w:rFonts w:ascii="Courier New" w:hAnsi="Courier New" w:cs="Courier New"/>
      </w:rPr>
    </w:lvl>
    <w:lvl w:ilvl="2" w:tplc="D8D291D8">
      <w:start w:val="1"/>
      <w:numFmt w:val="bullet"/>
      <w:lvlText w:val=""/>
      <w:lvlJc w:val="left"/>
      <w:pPr>
        <w:ind w:left="2360" w:hanging="360"/>
      </w:pPr>
      <w:rPr>
        <w:rFonts w:ascii="Wingdings" w:hAnsi="Wingdings"/>
      </w:rPr>
    </w:lvl>
    <w:lvl w:ilvl="3" w:tplc="9270785C">
      <w:start w:val="1"/>
      <w:numFmt w:val="bullet"/>
      <w:lvlText w:val=""/>
      <w:lvlJc w:val="left"/>
      <w:pPr>
        <w:ind w:left="3080" w:hanging="360"/>
      </w:pPr>
      <w:rPr>
        <w:rFonts w:ascii="Symbol" w:hAnsi="Symbol"/>
      </w:rPr>
    </w:lvl>
    <w:lvl w:ilvl="4" w:tplc="D6D8BBFE">
      <w:start w:val="1"/>
      <w:numFmt w:val="bullet"/>
      <w:lvlText w:val="o"/>
      <w:lvlJc w:val="left"/>
      <w:pPr>
        <w:ind w:left="3800" w:hanging="360"/>
      </w:pPr>
      <w:rPr>
        <w:rFonts w:ascii="Courier New" w:hAnsi="Courier New" w:cs="Courier New"/>
      </w:rPr>
    </w:lvl>
    <w:lvl w:ilvl="5" w:tplc="990CCA76">
      <w:start w:val="1"/>
      <w:numFmt w:val="bullet"/>
      <w:lvlText w:val=""/>
      <w:lvlJc w:val="left"/>
      <w:pPr>
        <w:ind w:left="4520" w:hanging="360"/>
      </w:pPr>
      <w:rPr>
        <w:rFonts w:ascii="Wingdings" w:hAnsi="Wingdings"/>
      </w:rPr>
    </w:lvl>
    <w:lvl w:ilvl="6" w:tplc="A45A8736">
      <w:start w:val="1"/>
      <w:numFmt w:val="bullet"/>
      <w:lvlText w:val=""/>
      <w:lvlJc w:val="left"/>
      <w:pPr>
        <w:ind w:left="5240" w:hanging="360"/>
      </w:pPr>
      <w:rPr>
        <w:rFonts w:ascii="Symbol" w:hAnsi="Symbol"/>
      </w:rPr>
    </w:lvl>
    <w:lvl w:ilvl="7" w:tplc="AC780F50">
      <w:start w:val="1"/>
      <w:numFmt w:val="bullet"/>
      <w:lvlText w:val="o"/>
      <w:lvlJc w:val="left"/>
      <w:pPr>
        <w:ind w:left="5960" w:hanging="360"/>
      </w:pPr>
      <w:rPr>
        <w:rFonts w:ascii="Courier New" w:hAnsi="Courier New" w:cs="Courier New"/>
      </w:rPr>
    </w:lvl>
    <w:lvl w:ilvl="8" w:tplc="B91E36B6">
      <w:start w:val="1"/>
      <w:numFmt w:val="bullet"/>
      <w:lvlText w:val=""/>
      <w:lvlJc w:val="left"/>
      <w:pPr>
        <w:ind w:left="6680" w:hanging="360"/>
      </w:pPr>
      <w:rPr>
        <w:rFonts w:ascii="Wingdings" w:hAnsi="Wingdings"/>
      </w:rPr>
    </w:lvl>
  </w:abstractNum>
  <w:abstractNum w:abstractNumId="9" w15:restartNumberingAfterBreak="0">
    <w:nsid w:val="21E2087B"/>
    <w:multiLevelType w:val="hybridMultilevel"/>
    <w:tmpl w:val="EFB20998"/>
    <w:lvl w:ilvl="0" w:tplc="7F429828">
      <w:start w:val="1"/>
      <w:numFmt w:val="bullet"/>
      <w:lvlText w:val=""/>
      <w:lvlJc w:val="left"/>
      <w:pPr>
        <w:ind w:left="720" w:hanging="360"/>
      </w:pPr>
      <w:rPr>
        <w:rFonts w:ascii="Symbol" w:hAnsi="Symbol"/>
      </w:rPr>
    </w:lvl>
    <w:lvl w:ilvl="1" w:tplc="AA0AD406">
      <w:start w:val="1"/>
      <w:numFmt w:val="bullet"/>
      <w:lvlText w:val="o"/>
      <w:lvlJc w:val="left"/>
      <w:pPr>
        <w:ind w:left="1440" w:hanging="360"/>
      </w:pPr>
      <w:rPr>
        <w:rFonts w:ascii="Courier New" w:hAnsi="Courier New" w:cs="Courier New"/>
      </w:rPr>
    </w:lvl>
    <w:lvl w:ilvl="2" w:tplc="6A328DE6">
      <w:start w:val="1"/>
      <w:numFmt w:val="bullet"/>
      <w:lvlText w:val=""/>
      <w:lvlJc w:val="left"/>
      <w:pPr>
        <w:ind w:left="2160" w:hanging="360"/>
      </w:pPr>
      <w:rPr>
        <w:rFonts w:ascii="Wingdings" w:hAnsi="Wingdings"/>
      </w:rPr>
    </w:lvl>
    <w:lvl w:ilvl="3" w:tplc="59B603DC">
      <w:start w:val="1"/>
      <w:numFmt w:val="bullet"/>
      <w:lvlText w:val=""/>
      <w:lvlJc w:val="left"/>
      <w:pPr>
        <w:ind w:left="2880" w:hanging="360"/>
      </w:pPr>
      <w:rPr>
        <w:rFonts w:ascii="Symbol" w:hAnsi="Symbol"/>
      </w:rPr>
    </w:lvl>
    <w:lvl w:ilvl="4" w:tplc="9104BFCE">
      <w:start w:val="1"/>
      <w:numFmt w:val="bullet"/>
      <w:lvlText w:val="o"/>
      <w:lvlJc w:val="left"/>
      <w:pPr>
        <w:ind w:left="3600" w:hanging="360"/>
      </w:pPr>
      <w:rPr>
        <w:rFonts w:ascii="Courier New" w:hAnsi="Courier New" w:cs="Courier New"/>
      </w:rPr>
    </w:lvl>
    <w:lvl w:ilvl="5" w:tplc="DF00B708">
      <w:start w:val="1"/>
      <w:numFmt w:val="bullet"/>
      <w:lvlText w:val=""/>
      <w:lvlJc w:val="left"/>
      <w:pPr>
        <w:ind w:left="4320" w:hanging="360"/>
      </w:pPr>
      <w:rPr>
        <w:rFonts w:ascii="Wingdings" w:hAnsi="Wingdings"/>
      </w:rPr>
    </w:lvl>
    <w:lvl w:ilvl="6" w:tplc="2348D3BC">
      <w:start w:val="1"/>
      <w:numFmt w:val="bullet"/>
      <w:lvlText w:val=""/>
      <w:lvlJc w:val="left"/>
      <w:pPr>
        <w:ind w:left="5040" w:hanging="360"/>
      </w:pPr>
      <w:rPr>
        <w:rFonts w:ascii="Symbol" w:hAnsi="Symbol"/>
      </w:rPr>
    </w:lvl>
    <w:lvl w:ilvl="7" w:tplc="608EAC42">
      <w:start w:val="1"/>
      <w:numFmt w:val="bullet"/>
      <w:lvlText w:val="o"/>
      <w:lvlJc w:val="left"/>
      <w:pPr>
        <w:ind w:left="5760" w:hanging="360"/>
      </w:pPr>
      <w:rPr>
        <w:rFonts w:ascii="Courier New" w:hAnsi="Courier New" w:cs="Courier New"/>
      </w:rPr>
    </w:lvl>
    <w:lvl w:ilvl="8" w:tplc="00D65B20">
      <w:start w:val="1"/>
      <w:numFmt w:val="bullet"/>
      <w:lvlText w:val=""/>
      <w:lvlJc w:val="left"/>
      <w:pPr>
        <w:ind w:left="6480" w:hanging="360"/>
      </w:pPr>
      <w:rPr>
        <w:rFonts w:ascii="Wingdings" w:hAnsi="Wingdings"/>
      </w:rPr>
    </w:lvl>
  </w:abstractNum>
  <w:abstractNum w:abstractNumId="10" w15:restartNumberingAfterBreak="0">
    <w:nsid w:val="242C64BD"/>
    <w:multiLevelType w:val="hybridMultilevel"/>
    <w:tmpl w:val="E8C0B626"/>
    <w:lvl w:ilvl="0" w:tplc="83222760">
      <w:start w:val="1"/>
      <w:numFmt w:val="bullet"/>
      <w:lvlText w:val="-"/>
      <w:lvlJc w:val="left"/>
      <w:rPr>
        <w:rFonts w:ascii="Courier New" w:hAnsi="Courier New" w:hint="default"/>
        <w:sz w:val="24"/>
      </w:rPr>
    </w:lvl>
    <w:lvl w:ilvl="1" w:tplc="F5E87B32">
      <w:start w:val="1"/>
      <w:numFmt w:val="bullet"/>
      <w:lvlText w:val="o"/>
      <w:lvlJc w:val="left"/>
      <w:rPr>
        <w:rFonts w:ascii="Courier New" w:hAnsi="Courier New"/>
        <w:sz w:val="24"/>
      </w:rPr>
    </w:lvl>
    <w:lvl w:ilvl="2" w:tplc="BB9A966E">
      <w:start w:val="1"/>
      <w:numFmt w:val="bullet"/>
      <w:lvlText w:val="§"/>
      <w:lvlJc w:val="left"/>
      <w:rPr>
        <w:sz w:val="24"/>
      </w:rPr>
    </w:lvl>
    <w:lvl w:ilvl="3" w:tplc="647697DE">
      <w:start w:val="1"/>
      <w:numFmt w:val="bullet"/>
      <w:lvlText w:val="·"/>
      <w:lvlJc w:val="left"/>
      <w:rPr>
        <w:sz w:val="24"/>
      </w:rPr>
    </w:lvl>
    <w:lvl w:ilvl="4" w:tplc="A0BCB32E">
      <w:start w:val="1"/>
      <w:numFmt w:val="bullet"/>
      <w:lvlText w:val="o"/>
      <w:lvlJc w:val="left"/>
      <w:rPr>
        <w:rFonts w:ascii="Courier New" w:hAnsi="Courier New"/>
        <w:sz w:val="24"/>
      </w:rPr>
    </w:lvl>
    <w:lvl w:ilvl="5" w:tplc="67CED060">
      <w:start w:val="1"/>
      <w:numFmt w:val="bullet"/>
      <w:lvlText w:val="§"/>
      <w:lvlJc w:val="left"/>
      <w:rPr>
        <w:sz w:val="24"/>
      </w:rPr>
    </w:lvl>
    <w:lvl w:ilvl="6" w:tplc="6B0C39F8">
      <w:start w:val="1"/>
      <w:numFmt w:val="bullet"/>
      <w:lvlText w:val="·"/>
      <w:lvlJc w:val="left"/>
      <w:rPr>
        <w:sz w:val="24"/>
      </w:rPr>
    </w:lvl>
    <w:lvl w:ilvl="7" w:tplc="58A8A1A8">
      <w:start w:val="1"/>
      <w:numFmt w:val="bullet"/>
      <w:lvlText w:val="o"/>
      <w:lvlJc w:val="left"/>
      <w:rPr>
        <w:rFonts w:ascii="Courier New" w:hAnsi="Courier New"/>
        <w:sz w:val="24"/>
      </w:rPr>
    </w:lvl>
    <w:lvl w:ilvl="8" w:tplc="1E0651BE">
      <w:start w:val="1"/>
      <w:numFmt w:val="bullet"/>
      <w:lvlText w:val="§"/>
      <w:lvlJc w:val="left"/>
      <w:rPr>
        <w:sz w:val="24"/>
      </w:rPr>
    </w:lvl>
  </w:abstractNum>
  <w:abstractNum w:abstractNumId="11" w15:restartNumberingAfterBreak="0">
    <w:nsid w:val="245577E8"/>
    <w:multiLevelType w:val="hybridMultilevel"/>
    <w:tmpl w:val="C65068DE"/>
    <w:lvl w:ilvl="0" w:tplc="ADBED672">
      <w:start w:val="1"/>
      <w:numFmt w:val="decimal"/>
      <w:lvlText w:val="%1."/>
      <w:lvlJc w:val="left"/>
      <w:pPr>
        <w:ind w:left="560" w:hanging="360"/>
      </w:pPr>
    </w:lvl>
    <w:lvl w:ilvl="1" w:tplc="53F08136">
      <w:start w:val="1"/>
      <w:numFmt w:val="lowerLetter"/>
      <w:lvlText w:val="%2."/>
      <w:lvlJc w:val="left"/>
      <w:pPr>
        <w:ind w:left="1280" w:hanging="360"/>
      </w:pPr>
    </w:lvl>
    <w:lvl w:ilvl="2" w:tplc="82A09D08">
      <w:start w:val="1"/>
      <w:numFmt w:val="lowerRoman"/>
      <w:lvlText w:val="%3."/>
      <w:lvlJc w:val="right"/>
      <w:pPr>
        <w:ind w:left="2000" w:hanging="180"/>
      </w:pPr>
    </w:lvl>
    <w:lvl w:ilvl="3" w:tplc="A75E6B76">
      <w:start w:val="1"/>
      <w:numFmt w:val="decimal"/>
      <w:lvlText w:val="%4."/>
      <w:lvlJc w:val="left"/>
      <w:pPr>
        <w:ind w:left="2720" w:hanging="360"/>
      </w:pPr>
    </w:lvl>
    <w:lvl w:ilvl="4" w:tplc="29A89FF8">
      <w:start w:val="1"/>
      <w:numFmt w:val="lowerLetter"/>
      <w:lvlText w:val="%5."/>
      <w:lvlJc w:val="left"/>
      <w:pPr>
        <w:ind w:left="3440" w:hanging="360"/>
      </w:pPr>
    </w:lvl>
    <w:lvl w:ilvl="5" w:tplc="596CF5FC">
      <w:start w:val="1"/>
      <w:numFmt w:val="lowerRoman"/>
      <w:lvlText w:val="%6."/>
      <w:lvlJc w:val="right"/>
      <w:pPr>
        <w:ind w:left="4160" w:hanging="180"/>
      </w:pPr>
    </w:lvl>
    <w:lvl w:ilvl="6" w:tplc="6EAE67D8">
      <w:start w:val="1"/>
      <w:numFmt w:val="decimal"/>
      <w:lvlText w:val="%7."/>
      <w:lvlJc w:val="left"/>
      <w:pPr>
        <w:ind w:left="4880" w:hanging="360"/>
      </w:pPr>
    </w:lvl>
    <w:lvl w:ilvl="7" w:tplc="66B0E3AA">
      <w:start w:val="1"/>
      <w:numFmt w:val="lowerLetter"/>
      <w:lvlText w:val="%8."/>
      <w:lvlJc w:val="left"/>
      <w:pPr>
        <w:ind w:left="5600" w:hanging="360"/>
      </w:pPr>
    </w:lvl>
    <w:lvl w:ilvl="8" w:tplc="91D2CAB0">
      <w:start w:val="1"/>
      <w:numFmt w:val="lowerRoman"/>
      <w:lvlText w:val="%9."/>
      <w:lvlJc w:val="right"/>
      <w:pPr>
        <w:ind w:left="6320" w:hanging="180"/>
      </w:pPr>
    </w:lvl>
  </w:abstractNum>
  <w:abstractNum w:abstractNumId="12" w15:restartNumberingAfterBreak="0">
    <w:nsid w:val="2CEB01B2"/>
    <w:multiLevelType w:val="hybridMultilevel"/>
    <w:tmpl w:val="81F2AC82"/>
    <w:lvl w:ilvl="0" w:tplc="728602C8">
      <w:start w:val="1"/>
      <w:numFmt w:val="bullet"/>
      <w:lvlText w:val=""/>
      <w:lvlJc w:val="left"/>
      <w:pPr>
        <w:ind w:left="862" w:hanging="360"/>
      </w:pPr>
      <w:rPr>
        <w:rFonts w:ascii="Symbol" w:hAnsi="Symbol"/>
        <w:color w:val="000000"/>
      </w:rPr>
    </w:lvl>
    <w:lvl w:ilvl="1" w:tplc="F9745BE0">
      <w:start w:val="1"/>
      <w:numFmt w:val="bullet"/>
      <w:lvlText w:val="o"/>
      <w:lvlJc w:val="left"/>
      <w:pPr>
        <w:ind w:left="1582" w:hanging="360"/>
      </w:pPr>
      <w:rPr>
        <w:rFonts w:ascii="Courier New" w:hAnsi="Courier New" w:cs="Courier New"/>
      </w:rPr>
    </w:lvl>
    <w:lvl w:ilvl="2" w:tplc="07BAB650">
      <w:start w:val="1"/>
      <w:numFmt w:val="bullet"/>
      <w:lvlText w:val=""/>
      <w:lvlJc w:val="left"/>
      <w:pPr>
        <w:ind w:left="2302" w:hanging="360"/>
      </w:pPr>
      <w:rPr>
        <w:rFonts w:ascii="Wingdings" w:hAnsi="Wingdings"/>
      </w:rPr>
    </w:lvl>
    <w:lvl w:ilvl="3" w:tplc="AD5637F4">
      <w:start w:val="1"/>
      <w:numFmt w:val="bullet"/>
      <w:lvlText w:val=""/>
      <w:lvlJc w:val="left"/>
      <w:pPr>
        <w:ind w:left="3022" w:hanging="360"/>
      </w:pPr>
      <w:rPr>
        <w:rFonts w:ascii="Symbol" w:hAnsi="Symbol"/>
      </w:rPr>
    </w:lvl>
    <w:lvl w:ilvl="4" w:tplc="D53C15DC">
      <w:start w:val="1"/>
      <w:numFmt w:val="bullet"/>
      <w:lvlText w:val="o"/>
      <w:lvlJc w:val="left"/>
      <w:pPr>
        <w:ind w:left="3742" w:hanging="360"/>
      </w:pPr>
      <w:rPr>
        <w:rFonts w:ascii="Courier New" w:hAnsi="Courier New" w:cs="Courier New"/>
      </w:rPr>
    </w:lvl>
    <w:lvl w:ilvl="5" w:tplc="FD508AC6">
      <w:start w:val="1"/>
      <w:numFmt w:val="bullet"/>
      <w:lvlText w:val=""/>
      <w:lvlJc w:val="left"/>
      <w:pPr>
        <w:ind w:left="4462" w:hanging="360"/>
      </w:pPr>
      <w:rPr>
        <w:rFonts w:ascii="Wingdings" w:hAnsi="Wingdings"/>
      </w:rPr>
    </w:lvl>
    <w:lvl w:ilvl="6" w:tplc="323ED55E">
      <w:start w:val="1"/>
      <w:numFmt w:val="bullet"/>
      <w:lvlText w:val=""/>
      <w:lvlJc w:val="left"/>
      <w:pPr>
        <w:ind w:left="5182" w:hanging="360"/>
      </w:pPr>
      <w:rPr>
        <w:rFonts w:ascii="Symbol" w:hAnsi="Symbol"/>
      </w:rPr>
    </w:lvl>
    <w:lvl w:ilvl="7" w:tplc="F1723AF8">
      <w:start w:val="1"/>
      <w:numFmt w:val="bullet"/>
      <w:lvlText w:val="o"/>
      <w:lvlJc w:val="left"/>
      <w:pPr>
        <w:ind w:left="5902" w:hanging="360"/>
      </w:pPr>
      <w:rPr>
        <w:rFonts w:ascii="Courier New" w:hAnsi="Courier New" w:cs="Courier New"/>
      </w:rPr>
    </w:lvl>
    <w:lvl w:ilvl="8" w:tplc="93906A82">
      <w:start w:val="1"/>
      <w:numFmt w:val="bullet"/>
      <w:lvlText w:val=""/>
      <w:lvlJc w:val="left"/>
      <w:pPr>
        <w:ind w:left="6622" w:hanging="360"/>
      </w:pPr>
      <w:rPr>
        <w:rFonts w:ascii="Wingdings" w:hAnsi="Wingdings"/>
      </w:rPr>
    </w:lvl>
  </w:abstractNum>
  <w:abstractNum w:abstractNumId="13" w15:restartNumberingAfterBreak="0">
    <w:nsid w:val="2E940F77"/>
    <w:multiLevelType w:val="hybridMultilevel"/>
    <w:tmpl w:val="EFAC2596"/>
    <w:lvl w:ilvl="0" w:tplc="34120B38">
      <w:start w:val="1"/>
      <w:numFmt w:val="bullet"/>
      <w:lvlText w:val=""/>
      <w:lvlJc w:val="left"/>
      <w:pPr>
        <w:ind w:left="862" w:hanging="360"/>
      </w:pPr>
      <w:rPr>
        <w:rFonts w:ascii="Symbol" w:hAnsi="Symbol"/>
        <w:color w:val="000000"/>
      </w:rPr>
    </w:lvl>
    <w:lvl w:ilvl="1" w:tplc="D12635BE">
      <w:start w:val="1"/>
      <w:numFmt w:val="bullet"/>
      <w:lvlText w:val="o"/>
      <w:lvlJc w:val="left"/>
      <w:pPr>
        <w:ind w:left="1582" w:hanging="360"/>
      </w:pPr>
      <w:rPr>
        <w:rFonts w:ascii="Courier New" w:hAnsi="Courier New" w:cs="Courier New"/>
      </w:rPr>
    </w:lvl>
    <w:lvl w:ilvl="2" w:tplc="0A0CB33E">
      <w:start w:val="1"/>
      <w:numFmt w:val="bullet"/>
      <w:lvlText w:val=""/>
      <w:lvlJc w:val="left"/>
      <w:pPr>
        <w:ind w:left="2302" w:hanging="360"/>
      </w:pPr>
      <w:rPr>
        <w:rFonts w:ascii="Wingdings" w:hAnsi="Wingdings"/>
      </w:rPr>
    </w:lvl>
    <w:lvl w:ilvl="3" w:tplc="F52890FA">
      <w:start w:val="1"/>
      <w:numFmt w:val="bullet"/>
      <w:lvlText w:val=""/>
      <w:lvlJc w:val="left"/>
      <w:pPr>
        <w:ind w:left="3022" w:hanging="360"/>
      </w:pPr>
      <w:rPr>
        <w:rFonts w:ascii="Symbol" w:hAnsi="Symbol"/>
      </w:rPr>
    </w:lvl>
    <w:lvl w:ilvl="4" w:tplc="3E68AC36">
      <w:start w:val="1"/>
      <w:numFmt w:val="bullet"/>
      <w:lvlText w:val="o"/>
      <w:lvlJc w:val="left"/>
      <w:pPr>
        <w:ind w:left="3742" w:hanging="360"/>
      </w:pPr>
      <w:rPr>
        <w:rFonts w:ascii="Courier New" w:hAnsi="Courier New" w:cs="Courier New"/>
      </w:rPr>
    </w:lvl>
    <w:lvl w:ilvl="5" w:tplc="062E6906">
      <w:start w:val="1"/>
      <w:numFmt w:val="bullet"/>
      <w:lvlText w:val=""/>
      <w:lvlJc w:val="left"/>
      <w:pPr>
        <w:ind w:left="4462" w:hanging="360"/>
      </w:pPr>
      <w:rPr>
        <w:rFonts w:ascii="Wingdings" w:hAnsi="Wingdings"/>
      </w:rPr>
    </w:lvl>
    <w:lvl w:ilvl="6" w:tplc="73F2930E">
      <w:start w:val="1"/>
      <w:numFmt w:val="bullet"/>
      <w:lvlText w:val=""/>
      <w:lvlJc w:val="left"/>
      <w:pPr>
        <w:ind w:left="5182" w:hanging="360"/>
      </w:pPr>
      <w:rPr>
        <w:rFonts w:ascii="Symbol" w:hAnsi="Symbol"/>
      </w:rPr>
    </w:lvl>
    <w:lvl w:ilvl="7" w:tplc="F1D4159A">
      <w:start w:val="1"/>
      <w:numFmt w:val="bullet"/>
      <w:lvlText w:val="o"/>
      <w:lvlJc w:val="left"/>
      <w:pPr>
        <w:ind w:left="5902" w:hanging="360"/>
      </w:pPr>
      <w:rPr>
        <w:rFonts w:ascii="Courier New" w:hAnsi="Courier New" w:cs="Courier New"/>
      </w:rPr>
    </w:lvl>
    <w:lvl w:ilvl="8" w:tplc="3C1ECECC">
      <w:start w:val="1"/>
      <w:numFmt w:val="bullet"/>
      <w:lvlText w:val=""/>
      <w:lvlJc w:val="left"/>
      <w:pPr>
        <w:ind w:left="6622" w:hanging="360"/>
      </w:pPr>
      <w:rPr>
        <w:rFonts w:ascii="Wingdings" w:hAnsi="Wingdings"/>
      </w:rPr>
    </w:lvl>
  </w:abstractNum>
  <w:abstractNum w:abstractNumId="14" w15:restartNumberingAfterBreak="0">
    <w:nsid w:val="30C64EED"/>
    <w:multiLevelType w:val="hybridMultilevel"/>
    <w:tmpl w:val="4DD07930"/>
    <w:lvl w:ilvl="0" w:tplc="921244B8">
      <w:start w:val="1"/>
      <w:numFmt w:val="bullet"/>
      <w:lvlText w:val=""/>
      <w:lvlJc w:val="left"/>
      <w:pPr>
        <w:ind w:left="720" w:hanging="360"/>
      </w:pPr>
      <w:rPr>
        <w:rFonts w:ascii="Symbol" w:hAnsi="Symbol"/>
        <w:color w:val="000000"/>
      </w:rPr>
    </w:lvl>
    <w:lvl w:ilvl="1" w:tplc="A308059A">
      <w:start w:val="1"/>
      <w:numFmt w:val="bullet"/>
      <w:lvlText w:val="o"/>
      <w:lvlJc w:val="left"/>
      <w:pPr>
        <w:ind w:left="1440" w:hanging="360"/>
      </w:pPr>
      <w:rPr>
        <w:rFonts w:ascii="Courier New" w:hAnsi="Courier New" w:cs="Courier New"/>
      </w:rPr>
    </w:lvl>
    <w:lvl w:ilvl="2" w:tplc="22BE1A20">
      <w:start w:val="1"/>
      <w:numFmt w:val="bullet"/>
      <w:lvlText w:val=""/>
      <w:lvlJc w:val="left"/>
      <w:pPr>
        <w:ind w:left="2160" w:hanging="360"/>
      </w:pPr>
      <w:rPr>
        <w:rFonts w:ascii="Wingdings" w:hAnsi="Wingdings"/>
      </w:rPr>
    </w:lvl>
    <w:lvl w:ilvl="3" w:tplc="B6DA3CD0">
      <w:start w:val="1"/>
      <w:numFmt w:val="bullet"/>
      <w:lvlText w:val=""/>
      <w:lvlJc w:val="left"/>
      <w:pPr>
        <w:ind w:left="2880" w:hanging="360"/>
      </w:pPr>
      <w:rPr>
        <w:rFonts w:ascii="Symbol" w:hAnsi="Symbol"/>
      </w:rPr>
    </w:lvl>
    <w:lvl w:ilvl="4" w:tplc="5BDCA38C">
      <w:start w:val="1"/>
      <w:numFmt w:val="bullet"/>
      <w:lvlText w:val="o"/>
      <w:lvlJc w:val="left"/>
      <w:pPr>
        <w:ind w:left="3600" w:hanging="360"/>
      </w:pPr>
      <w:rPr>
        <w:rFonts w:ascii="Courier New" w:hAnsi="Courier New" w:cs="Courier New"/>
      </w:rPr>
    </w:lvl>
    <w:lvl w:ilvl="5" w:tplc="D1262264">
      <w:start w:val="1"/>
      <w:numFmt w:val="bullet"/>
      <w:lvlText w:val=""/>
      <w:lvlJc w:val="left"/>
      <w:pPr>
        <w:ind w:left="4320" w:hanging="360"/>
      </w:pPr>
      <w:rPr>
        <w:rFonts w:ascii="Wingdings" w:hAnsi="Wingdings"/>
      </w:rPr>
    </w:lvl>
    <w:lvl w:ilvl="6" w:tplc="C1A6B932">
      <w:start w:val="1"/>
      <w:numFmt w:val="bullet"/>
      <w:lvlText w:val=""/>
      <w:lvlJc w:val="left"/>
      <w:pPr>
        <w:ind w:left="5040" w:hanging="360"/>
      </w:pPr>
      <w:rPr>
        <w:rFonts w:ascii="Symbol" w:hAnsi="Symbol"/>
      </w:rPr>
    </w:lvl>
    <w:lvl w:ilvl="7" w:tplc="5C301558">
      <w:start w:val="1"/>
      <w:numFmt w:val="bullet"/>
      <w:lvlText w:val="o"/>
      <w:lvlJc w:val="left"/>
      <w:pPr>
        <w:ind w:left="5760" w:hanging="360"/>
      </w:pPr>
      <w:rPr>
        <w:rFonts w:ascii="Courier New" w:hAnsi="Courier New" w:cs="Courier New"/>
      </w:rPr>
    </w:lvl>
    <w:lvl w:ilvl="8" w:tplc="498A80F0">
      <w:start w:val="1"/>
      <w:numFmt w:val="bullet"/>
      <w:lvlText w:val=""/>
      <w:lvlJc w:val="left"/>
      <w:pPr>
        <w:ind w:left="6480" w:hanging="360"/>
      </w:pPr>
      <w:rPr>
        <w:rFonts w:ascii="Wingdings" w:hAnsi="Wingdings"/>
      </w:rPr>
    </w:lvl>
  </w:abstractNum>
  <w:abstractNum w:abstractNumId="15" w15:restartNumberingAfterBreak="0">
    <w:nsid w:val="340D1575"/>
    <w:multiLevelType w:val="hybridMultilevel"/>
    <w:tmpl w:val="D236DAEE"/>
    <w:lvl w:ilvl="0" w:tplc="5C6AC4F4">
      <w:start w:val="1"/>
      <w:numFmt w:val="bullet"/>
      <w:lvlText w:val="-"/>
      <w:lvlJc w:val="left"/>
      <w:rPr>
        <w:rFonts w:ascii="Courier New" w:hAnsi="Courier New"/>
        <w:sz w:val="24"/>
      </w:rPr>
    </w:lvl>
    <w:lvl w:ilvl="1" w:tplc="4DBEDDB0">
      <w:start w:val="1"/>
      <w:numFmt w:val="bullet"/>
      <w:lvlText w:val="o"/>
      <w:lvlJc w:val="left"/>
      <w:rPr>
        <w:rFonts w:ascii="Courier New" w:hAnsi="Courier New"/>
        <w:sz w:val="24"/>
      </w:rPr>
    </w:lvl>
    <w:lvl w:ilvl="2" w:tplc="436E5074">
      <w:start w:val="1"/>
      <w:numFmt w:val="bullet"/>
      <w:lvlText w:val="§"/>
      <w:lvlJc w:val="left"/>
      <w:rPr>
        <w:sz w:val="24"/>
      </w:rPr>
    </w:lvl>
    <w:lvl w:ilvl="3" w:tplc="D5B4D8FA">
      <w:start w:val="1"/>
      <w:numFmt w:val="bullet"/>
      <w:lvlText w:val="·"/>
      <w:lvlJc w:val="left"/>
      <w:rPr>
        <w:sz w:val="24"/>
      </w:rPr>
    </w:lvl>
    <w:lvl w:ilvl="4" w:tplc="9B188AC4">
      <w:start w:val="1"/>
      <w:numFmt w:val="bullet"/>
      <w:lvlText w:val="o"/>
      <w:lvlJc w:val="left"/>
      <w:rPr>
        <w:rFonts w:ascii="Courier New" w:hAnsi="Courier New"/>
        <w:sz w:val="24"/>
      </w:rPr>
    </w:lvl>
    <w:lvl w:ilvl="5" w:tplc="2AEE364A">
      <w:start w:val="1"/>
      <w:numFmt w:val="bullet"/>
      <w:lvlText w:val="§"/>
      <w:lvlJc w:val="left"/>
      <w:rPr>
        <w:sz w:val="24"/>
      </w:rPr>
    </w:lvl>
    <w:lvl w:ilvl="6" w:tplc="03067AEC">
      <w:start w:val="1"/>
      <w:numFmt w:val="bullet"/>
      <w:lvlText w:val="·"/>
      <w:lvlJc w:val="left"/>
      <w:rPr>
        <w:sz w:val="24"/>
      </w:rPr>
    </w:lvl>
    <w:lvl w:ilvl="7" w:tplc="1E808126">
      <w:start w:val="1"/>
      <w:numFmt w:val="bullet"/>
      <w:lvlText w:val="o"/>
      <w:lvlJc w:val="left"/>
      <w:rPr>
        <w:rFonts w:ascii="Courier New" w:hAnsi="Courier New"/>
        <w:sz w:val="24"/>
      </w:rPr>
    </w:lvl>
    <w:lvl w:ilvl="8" w:tplc="1E02BBFE">
      <w:start w:val="1"/>
      <w:numFmt w:val="bullet"/>
      <w:lvlText w:val="§"/>
      <w:lvlJc w:val="left"/>
      <w:rPr>
        <w:sz w:val="24"/>
      </w:rPr>
    </w:lvl>
  </w:abstractNum>
  <w:abstractNum w:abstractNumId="16" w15:restartNumberingAfterBreak="0">
    <w:nsid w:val="391646AC"/>
    <w:multiLevelType w:val="hybridMultilevel"/>
    <w:tmpl w:val="10F86132"/>
    <w:lvl w:ilvl="0" w:tplc="28DE52DE">
      <w:start w:val="1"/>
      <w:numFmt w:val="bullet"/>
      <w:lvlText w:val="-"/>
      <w:lvlJc w:val="left"/>
      <w:pPr>
        <w:ind w:left="927" w:hanging="360"/>
      </w:pPr>
      <w:rPr>
        <w:rFonts w:ascii="Courier New" w:hAnsi="Courier New"/>
        <w:sz w:val="24"/>
      </w:rPr>
    </w:lvl>
    <w:lvl w:ilvl="1" w:tplc="9D1CDE10">
      <w:start w:val="1"/>
      <w:numFmt w:val="bullet"/>
      <w:lvlText w:val="o"/>
      <w:lvlJc w:val="left"/>
      <w:pPr>
        <w:ind w:left="1647" w:hanging="360"/>
      </w:pPr>
      <w:rPr>
        <w:rFonts w:ascii="Courier New" w:hAnsi="Courier New" w:cs="Courier New"/>
      </w:rPr>
    </w:lvl>
    <w:lvl w:ilvl="2" w:tplc="9ACAA74E">
      <w:start w:val="1"/>
      <w:numFmt w:val="bullet"/>
      <w:lvlText w:val=""/>
      <w:lvlJc w:val="left"/>
      <w:pPr>
        <w:ind w:left="2367" w:hanging="360"/>
      </w:pPr>
      <w:rPr>
        <w:rFonts w:ascii="Wingdings" w:hAnsi="Wingdings"/>
      </w:rPr>
    </w:lvl>
    <w:lvl w:ilvl="3" w:tplc="E8DC007C">
      <w:start w:val="1"/>
      <w:numFmt w:val="bullet"/>
      <w:lvlText w:val=""/>
      <w:lvlJc w:val="left"/>
      <w:pPr>
        <w:ind w:left="3087" w:hanging="360"/>
      </w:pPr>
      <w:rPr>
        <w:rFonts w:ascii="Symbol" w:hAnsi="Symbol"/>
      </w:rPr>
    </w:lvl>
    <w:lvl w:ilvl="4" w:tplc="F064AC18">
      <w:start w:val="1"/>
      <w:numFmt w:val="bullet"/>
      <w:lvlText w:val="o"/>
      <w:lvlJc w:val="left"/>
      <w:pPr>
        <w:ind w:left="3807" w:hanging="360"/>
      </w:pPr>
      <w:rPr>
        <w:rFonts w:ascii="Courier New" w:hAnsi="Courier New" w:cs="Courier New"/>
      </w:rPr>
    </w:lvl>
    <w:lvl w:ilvl="5" w:tplc="C8529FA4">
      <w:start w:val="1"/>
      <w:numFmt w:val="bullet"/>
      <w:lvlText w:val=""/>
      <w:lvlJc w:val="left"/>
      <w:pPr>
        <w:ind w:left="4527" w:hanging="360"/>
      </w:pPr>
      <w:rPr>
        <w:rFonts w:ascii="Wingdings" w:hAnsi="Wingdings"/>
      </w:rPr>
    </w:lvl>
    <w:lvl w:ilvl="6" w:tplc="C88892C2">
      <w:start w:val="1"/>
      <w:numFmt w:val="bullet"/>
      <w:lvlText w:val=""/>
      <w:lvlJc w:val="left"/>
      <w:pPr>
        <w:ind w:left="5247" w:hanging="360"/>
      </w:pPr>
      <w:rPr>
        <w:rFonts w:ascii="Symbol" w:hAnsi="Symbol"/>
      </w:rPr>
    </w:lvl>
    <w:lvl w:ilvl="7" w:tplc="96D88556">
      <w:start w:val="1"/>
      <w:numFmt w:val="bullet"/>
      <w:lvlText w:val="o"/>
      <w:lvlJc w:val="left"/>
      <w:pPr>
        <w:ind w:left="5967" w:hanging="360"/>
      </w:pPr>
      <w:rPr>
        <w:rFonts w:ascii="Courier New" w:hAnsi="Courier New" w:cs="Courier New"/>
      </w:rPr>
    </w:lvl>
    <w:lvl w:ilvl="8" w:tplc="B9AA4B10">
      <w:start w:val="1"/>
      <w:numFmt w:val="bullet"/>
      <w:lvlText w:val=""/>
      <w:lvlJc w:val="left"/>
      <w:pPr>
        <w:ind w:left="6687" w:hanging="360"/>
      </w:pPr>
      <w:rPr>
        <w:rFonts w:ascii="Wingdings" w:hAnsi="Wingdings"/>
      </w:rPr>
    </w:lvl>
  </w:abstractNum>
  <w:abstractNum w:abstractNumId="17" w15:restartNumberingAfterBreak="0">
    <w:nsid w:val="3E4F29D7"/>
    <w:multiLevelType w:val="hybridMultilevel"/>
    <w:tmpl w:val="D3E23C78"/>
    <w:lvl w:ilvl="0" w:tplc="126288F0">
      <w:start w:val="1"/>
      <w:numFmt w:val="bullet"/>
      <w:lvlText w:val=""/>
      <w:lvlJc w:val="left"/>
      <w:pPr>
        <w:ind w:left="720" w:hanging="360"/>
      </w:pPr>
      <w:rPr>
        <w:rFonts w:ascii="Symbol" w:hAnsi="Symbol"/>
      </w:rPr>
    </w:lvl>
    <w:lvl w:ilvl="1" w:tplc="CDA27308">
      <w:start w:val="1"/>
      <w:numFmt w:val="bullet"/>
      <w:lvlText w:val="o"/>
      <w:lvlJc w:val="left"/>
      <w:pPr>
        <w:ind w:left="1440" w:hanging="360"/>
      </w:pPr>
      <w:rPr>
        <w:rFonts w:ascii="Courier New" w:hAnsi="Courier New" w:cs="Courier New"/>
      </w:rPr>
    </w:lvl>
    <w:lvl w:ilvl="2" w:tplc="6D1085CC">
      <w:start w:val="1"/>
      <w:numFmt w:val="bullet"/>
      <w:lvlText w:val=""/>
      <w:lvlJc w:val="left"/>
      <w:pPr>
        <w:ind w:left="2160" w:hanging="360"/>
      </w:pPr>
      <w:rPr>
        <w:rFonts w:ascii="Wingdings" w:hAnsi="Wingdings"/>
      </w:rPr>
    </w:lvl>
    <w:lvl w:ilvl="3" w:tplc="53E4C650">
      <w:start w:val="1"/>
      <w:numFmt w:val="bullet"/>
      <w:lvlText w:val=""/>
      <w:lvlJc w:val="left"/>
      <w:pPr>
        <w:ind w:left="2880" w:hanging="360"/>
      </w:pPr>
      <w:rPr>
        <w:rFonts w:ascii="Symbol" w:hAnsi="Symbol"/>
      </w:rPr>
    </w:lvl>
    <w:lvl w:ilvl="4" w:tplc="9E7C8ED2">
      <w:start w:val="1"/>
      <w:numFmt w:val="bullet"/>
      <w:lvlText w:val="o"/>
      <w:lvlJc w:val="left"/>
      <w:pPr>
        <w:ind w:left="3600" w:hanging="360"/>
      </w:pPr>
      <w:rPr>
        <w:rFonts w:ascii="Courier New" w:hAnsi="Courier New" w:cs="Courier New"/>
      </w:rPr>
    </w:lvl>
    <w:lvl w:ilvl="5" w:tplc="8C7CD1E4">
      <w:start w:val="1"/>
      <w:numFmt w:val="bullet"/>
      <w:lvlText w:val=""/>
      <w:lvlJc w:val="left"/>
      <w:pPr>
        <w:ind w:left="4320" w:hanging="360"/>
      </w:pPr>
      <w:rPr>
        <w:rFonts w:ascii="Wingdings" w:hAnsi="Wingdings"/>
      </w:rPr>
    </w:lvl>
    <w:lvl w:ilvl="6" w:tplc="9DD448C8">
      <w:start w:val="1"/>
      <w:numFmt w:val="bullet"/>
      <w:lvlText w:val=""/>
      <w:lvlJc w:val="left"/>
      <w:pPr>
        <w:ind w:left="5040" w:hanging="360"/>
      </w:pPr>
      <w:rPr>
        <w:rFonts w:ascii="Symbol" w:hAnsi="Symbol"/>
      </w:rPr>
    </w:lvl>
    <w:lvl w:ilvl="7" w:tplc="9ECC7894">
      <w:start w:val="1"/>
      <w:numFmt w:val="bullet"/>
      <w:lvlText w:val="o"/>
      <w:lvlJc w:val="left"/>
      <w:pPr>
        <w:ind w:left="5760" w:hanging="360"/>
      </w:pPr>
      <w:rPr>
        <w:rFonts w:ascii="Courier New" w:hAnsi="Courier New" w:cs="Courier New"/>
      </w:rPr>
    </w:lvl>
    <w:lvl w:ilvl="8" w:tplc="41D62168">
      <w:start w:val="1"/>
      <w:numFmt w:val="bullet"/>
      <w:lvlText w:val=""/>
      <w:lvlJc w:val="left"/>
      <w:pPr>
        <w:ind w:left="6480" w:hanging="360"/>
      </w:pPr>
      <w:rPr>
        <w:rFonts w:ascii="Wingdings" w:hAnsi="Wingdings"/>
      </w:rPr>
    </w:lvl>
  </w:abstractNum>
  <w:abstractNum w:abstractNumId="18" w15:restartNumberingAfterBreak="0">
    <w:nsid w:val="3EE350B6"/>
    <w:multiLevelType w:val="hybridMultilevel"/>
    <w:tmpl w:val="49BE88EC"/>
    <w:lvl w:ilvl="0" w:tplc="69A2E072">
      <w:start w:val="1"/>
      <w:numFmt w:val="bullet"/>
      <w:lvlText w:val="-"/>
      <w:lvlJc w:val="left"/>
      <w:rPr>
        <w:rFonts w:ascii="Courier New" w:hAnsi="Courier New"/>
        <w:sz w:val="18"/>
      </w:rPr>
    </w:lvl>
    <w:lvl w:ilvl="1" w:tplc="370C2C72">
      <w:start w:val="1"/>
      <w:numFmt w:val="bullet"/>
      <w:lvlText w:val="o"/>
      <w:lvlJc w:val="left"/>
      <w:rPr>
        <w:rFonts w:ascii="Courier New" w:hAnsi="Courier New"/>
        <w:sz w:val="24"/>
      </w:rPr>
    </w:lvl>
    <w:lvl w:ilvl="2" w:tplc="83560722">
      <w:start w:val="1"/>
      <w:numFmt w:val="bullet"/>
      <w:lvlText w:val="§"/>
      <w:lvlJc w:val="left"/>
      <w:rPr>
        <w:sz w:val="24"/>
      </w:rPr>
    </w:lvl>
    <w:lvl w:ilvl="3" w:tplc="F37A477C">
      <w:start w:val="1"/>
      <w:numFmt w:val="bullet"/>
      <w:lvlText w:val="·"/>
      <w:lvlJc w:val="left"/>
      <w:rPr>
        <w:rFonts w:ascii="Arial" w:hAnsi="Arial"/>
        <w:sz w:val="24"/>
      </w:rPr>
    </w:lvl>
    <w:lvl w:ilvl="4" w:tplc="D15672A2">
      <w:start w:val="1"/>
      <w:numFmt w:val="bullet"/>
      <w:lvlText w:val="o"/>
      <w:lvlJc w:val="left"/>
      <w:rPr>
        <w:rFonts w:ascii="Courier New" w:hAnsi="Courier New"/>
        <w:sz w:val="24"/>
      </w:rPr>
    </w:lvl>
    <w:lvl w:ilvl="5" w:tplc="3674571A">
      <w:start w:val="1"/>
      <w:numFmt w:val="bullet"/>
      <w:lvlText w:val="§"/>
      <w:lvlJc w:val="left"/>
      <w:rPr>
        <w:sz w:val="24"/>
      </w:rPr>
    </w:lvl>
    <w:lvl w:ilvl="6" w:tplc="FB385BB6">
      <w:start w:val="1"/>
      <w:numFmt w:val="bullet"/>
      <w:lvlText w:val="·"/>
      <w:lvlJc w:val="left"/>
      <w:rPr>
        <w:rFonts w:ascii="Arial" w:hAnsi="Arial"/>
        <w:sz w:val="24"/>
      </w:rPr>
    </w:lvl>
    <w:lvl w:ilvl="7" w:tplc="F0C2E1AA">
      <w:start w:val="1"/>
      <w:numFmt w:val="bullet"/>
      <w:lvlText w:val="o"/>
      <w:lvlJc w:val="left"/>
      <w:rPr>
        <w:rFonts w:ascii="Courier New" w:hAnsi="Courier New"/>
        <w:sz w:val="24"/>
      </w:rPr>
    </w:lvl>
    <w:lvl w:ilvl="8" w:tplc="DEFC0400">
      <w:start w:val="1"/>
      <w:numFmt w:val="bullet"/>
      <w:lvlText w:val="§"/>
      <w:lvlJc w:val="left"/>
      <w:rPr>
        <w:sz w:val="24"/>
      </w:rPr>
    </w:lvl>
  </w:abstractNum>
  <w:abstractNum w:abstractNumId="19" w15:restartNumberingAfterBreak="0">
    <w:nsid w:val="465F5B20"/>
    <w:multiLevelType w:val="hybridMultilevel"/>
    <w:tmpl w:val="6A00DD44"/>
    <w:lvl w:ilvl="0" w:tplc="2614217A">
      <w:start w:val="1"/>
      <w:numFmt w:val="bullet"/>
      <w:lvlText w:val=""/>
      <w:lvlJc w:val="left"/>
      <w:pPr>
        <w:ind w:left="1004" w:hanging="360"/>
      </w:pPr>
      <w:rPr>
        <w:rFonts w:ascii="Symbol" w:hAnsi="Symbol"/>
        <w:color w:val="000000"/>
      </w:rPr>
    </w:lvl>
    <w:lvl w:ilvl="1" w:tplc="B28052B6">
      <w:start w:val="1"/>
      <w:numFmt w:val="bullet"/>
      <w:lvlText w:val="o"/>
      <w:lvlJc w:val="left"/>
      <w:pPr>
        <w:ind w:left="1724" w:hanging="360"/>
      </w:pPr>
      <w:rPr>
        <w:rFonts w:ascii="Courier New" w:hAnsi="Courier New"/>
      </w:rPr>
    </w:lvl>
    <w:lvl w:ilvl="2" w:tplc="8E3ACB18">
      <w:start w:val="1"/>
      <w:numFmt w:val="bullet"/>
      <w:lvlText w:val=""/>
      <w:lvlJc w:val="left"/>
      <w:pPr>
        <w:ind w:left="2444" w:hanging="360"/>
      </w:pPr>
      <w:rPr>
        <w:rFonts w:ascii="Wingdings" w:hAnsi="Wingdings"/>
      </w:rPr>
    </w:lvl>
    <w:lvl w:ilvl="3" w:tplc="ECA4F144">
      <w:start w:val="1"/>
      <w:numFmt w:val="bullet"/>
      <w:lvlText w:val=""/>
      <w:lvlJc w:val="left"/>
      <w:pPr>
        <w:ind w:left="3164" w:hanging="360"/>
      </w:pPr>
      <w:rPr>
        <w:rFonts w:ascii="Symbol" w:hAnsi="Symbol"/>
      </w:rPr>
    </w:lvl>
    <w:lvl w:ilvl="4" w:tplc="60287414">
      <w:start w:val="1"/>
      <w:numFmt w:val="bullet"/>
      <w:lvlText w:val="o"/>
      <w:lvlJc w:val="left"/>
      <w:pPr>
        <w:ind w:left="3884" w:hanging="360"/>
      </w:pPr>
      <w:rPr>
        <w:rFonts w:ascii="Courier New" w:hAnsi="Courier New"/>
      </w:rPr>
    </w:lvl>
    <w:lvl w:ilvl="5" w:tplc="9D683C40">
      <w:start w:val="1"/>
      <w:numFmt w:val="bullet"/>
      <w:lvlText w:val=""/>
      <w:lvlJc w:val="left"/>
      <w:pPr>
        <w:ind w:left="4604" w:hanging="360"/>
      </w:pPr>
      <w:rPr>
        <w:rFonts w:ascii="Wingdings" w:hAnsi="Wingdings"/>
      </w:rPr>
    </w:lvl>
    <w:lvl w:ilvl="6" w:tplc="E3B4304A">
      <w:start w:val="1"/>
      <w:numFmt w:val="bullet"/>
      <w:lvlText w:val=""/>
      <w:lvlJc w:val="left"/>
      <w:pPr>
        <w:ind w:left="5324" w:hanging="360"/>
      </w:pPr>
      <w:rPr>
        <w:rFonts w:ascii="Symbol" w:hAnsi="Symbol"/>
      </w:rPr>
    </w:lvl>
    <w:lvl w:ilvl="7" w:tplc="D71CDD06">
      <w:start w:val="1"/>
      <w:numFmt w:val="bullet"/>
      <w:lvlText w:val="o"/>
      <w:lvlJc w:val="left"/>
      <w:pPr>
        <w:ind w:left="6044" w:hanging="360"/>
      </w:pPr>
      <w:rPr>
        <w:rFonts w:ascii="Courier New" w:hAnsi="Courier New"/>
      </w:rPr>
    </w:lvl>
    <w:lvl w:ilvl="8" w:tplc="E13654CE">
      <w:start w:val="1"/>
      <w:numFmt w:val="bullet"/>
      <w:lvlText w:val=""/>
      <w:lvlJc w:val="left"/>
      <w:pPr>
        <w:ind w:left="6764" w:hanging="360"/>
      </w:pPr>
      <w:rPr>
        <w:rFonts w:ascii="Wingdings" w:hAnsi="Wingdings"/>
      </w:rPr>
    </w:lvl>
  </w:abstractNum>
  <w:abstractNum w:abstractNumId="20" w15:restartNumberingAfterBreak="0">
    <w:nsid w:val="4948095C"/>
    <w:multiLevelType w:val="hybridMultilevel"/>
    <w:tmpl w:val="9A58D06E"/>
    <w:lvl w:ilvl="0" w:tplc="B7BE960A">
      <w:start w:val="1"/>
      <w:numFmt w:val="decimal"/>
      <w:lvlText w:val="%1."/>
      <w:lvlJc w:val="left"/>
      <w:pPr>
        <w:ind w:left="720" w:hanging="360"/>
      </w:pPr>
    </w:lvl>
    <w:lvl w:ilvl="1" w:tplc="6EA2BEDC">
      <w:start w:val="1"/>
      <w:numFmt w:val="lowerLetter"/>
      <w:lvlText w:val="%2."/>
      <w:lvlJc w:val="left"/>
      <w:pPr>
        <w:ind w:left="1440" w:hanging="360"/>
      </w:pPr>
    </w:lvl>
    <w:lvl w:ilvl="2" w:tplc="B0CC3798">
      <w:start w:val="1"/>
      <w:numFmt w:val="lowerRoman"/>
      <w:lvlText w:val="%3."/>
      <w:lvlJc w:val="right"/>
      <w:pPr>
        <w:ind w:left="2160" w:hanging="180"/>
      </w:pPr>
    </w:lvl>
    <w:lvl w:ilvl="3" w:tplc="285A6546">
      <w:start w:val="1"/>
      <w:numFmt w:val="decimal"/>
      <w:lvlText w:val="%4."/>
      <w:lvlJc w:val="left"/>
      <w:pPr>
        <w:ind w:left="2880" w:hanging="360"/>
      </w:pPr>
    </w:lvl>
    <w:lvl w:ilvl="4" w:tplc="9D264F16">
      <w:start w:val="1"/>
      <w:numFmt w:val="lowerLetter"/>
      <w:lvlText w:val="%5."/>
      <w:lvlJc w:val="left"/>
      <w:pPr>
        <w:ind w:left="3600" w:hanging="360"/>
      </w:pPr>
    </w:lvl>
    <w:lvl w:ilvl="5" w:tplc="5816B98A">
      <w:start w:val="1"/>
      <w:numFmt w:val="lowerRoman"/>
      <w:lvlText w:val="%6."/>
      <w:lvlJc w:val="right"/>
      <w:pPr>
        <w:ind w:left="4320" w:hanging="180"/>
      </w:pPr>
    </w:lvl>
    <w:lvl w:ilvl="6" w:tplc="88AA5EAE">
      <w:start w:val="1"/>
      <w:numFmt w:val="decimal"/>
      <w:lvlText w:val="%7."/>
      <w:lvlJc w:val="left"/>
      <w:pPr>
        <w:ind w:left="5040" w:hanging="360"/>
      </w:pPr>
    </w:lvl>
    <w:lvl w:ilvl="7" w:tplc="B43CFAD8">
      <w:start w:val="1"/>
      <w:numFmt w:val="lowerLetter"/>
      <w:lvlText w:val="%8."/>
      <w:lvlJc w:val="left"/>
      <w:pPr>
        <w:ind w:left="5760" w:hanging="360"/>
      </w:pPr>
    </w:lvl>
    <w:lvl w:ilvl="8" w:tplc="BF466424">
      <w:start w:val="1"/>
      <w:numFmt w:val="lowerRoman"/>
      <w:lvlText w:val="%9."/>
      <w:lvlJc w:val="right"/>
      <w:pPr>
        <w:ind w:left="6480" w:hanging="180"/>
      </w:pPr>
    </w:lvl>
  </w:abstractNum>
  <w:abstractNum w:abstractNumId="21" w15:restartNumberingAfterBreak="0">
    <w:nsid w:val="4A6B34FF"/>
    <w:multiLevelType w:val="hybridMultilevel"/>
    <w:tmpl w:val="C862CB26"/>
    <w:lvl w:ilvl="0" w:tplc="FDB00206">
      <w:start w:val="1"/>
      <w:numFmt w:val="decimal"/>
      <w:lvlText w:val="%1."/>
      <w:lvlJc w:val="left"/>
      <w:pPr>
        <w:ind w:left="720" w:hanging="360"/>
      </w:pPr>
      <w:rPr>
        <w:rFonts w:hint="default"/>
      </w:rPr>
    </w:lvl>
    <w:lvl w:ilvl="1" w:tplc="1E088598">
      <w:start w:val="1"/>
      <w:numFmt w:val="lowerLetter"/>
      <w:lvlText w:val="%2."/>
      <w:lvlJc w:val="left"/>
      <w:pPr>
        <w:ind w:left="1440" w:hanging="360"/>
      </w:pPr>
    </w:lvl>
    <w:lvl w:ilvl="2" w:tplc="A23C637E">
      <w:start w:val="1"/>
      <w:numFmt w:val="lowerRoman"/>
      <w:lvlText w:val="%3."/>
      <w:lvlJc w:val="right"/>
      <w:pPr>
        <w:ind w:left="2160" w:hanging="180"/>
      </w:pPr>
    </w:lvl>
    <w:lvl w:ilvl="3" w:tplc="620E2B50">
      <w:start w:val="1"/>
      <w:numFmt w:val="decimal"/>
      <w:lvlText w:val="%4."/>
      <w:lvlJc w:val="left"/>
      <w:pPr>
        <w:ind w:left="2880" w:hanging="360"/>
      </w:pPr>
    </w:lvl>
    <w:lvl w:ilvl="4" w:tplc="081C72CA">
      <w:start w:val="1"/>
      <w:numFmt w:val="lowerLetter"/>
      <w:lvlText w:val="%5."/>
      <w:lvlJc w:val="left"/>
      <w:pPr>
        <w:ind w:left="3600" w:hanging="360"/>
      </w:pPr>
    </w:lvl>
    <w:lvl w:ilvl="5" w:tplc="25D4866E">
      <w:start w:val="1"/>
      <w:numFmt w:val="lowerRoman"/>
      <w:lvlText w:val="%6."/>
      <w:lvlJc w:val="right"/>
      <w:pPr>
        <w:ind w:left="4320" w:hanging="180"/>
      </w:pPr>
    </w:lvl>
    <w:lvl w:ilvl="6" w:tplc="D1181F02">
      <w:start w:val="1"/>
      <w:numFmt w:val="decimal"/>
      <w:lvlText w:val="%7."/>
      <w:lvlJc w:val="left"/>
      <w:pPr>
        <w:ind w:left="5040" w:hanging="360"/>
      </w:pPr>
    </w:lvl>
    <w:lvl w:ilvl="7" w:tplc="D3BC6492">
      <w:start w:val="1"/>
      <w:numFmt w:val="lowerLetter"/>
      <w:lvlText w:val="%8."/>
      <w:lvlJc w:val="left"/>
      <w:pPr>
        <w:ind w:left="5760" w:hanging="360"/>
      </w:pPr>
    </w:lvl>
    <w:lvl w:ilvl="8" w:tplc="9494832E">
      <w:start w:val="1"/>
      <w:numFmt w:val="lowerRoman"/>
      <w:lvlText w:val="%9."/>
      <w:lvlJc w:val="right"/>
      <w:pPr>
        <w:ind w:left="6480" w:hanging="180"/>
      </w:pPr>
    </w:lvl>
  </w:abstractNum>
  <w:abstractNum w:abstractNumId="22" w15:restartNumberingAfterBreak="0">
    <w:nsid w:val="4B3917ED"/>
    <w:multiLevelType w:val="hybridMultilevel"/>
    <w:tmpl w:val="464C476C"/>
    <w:lvl w:ilvl="0" w:tplc="873C7B98">
      <w:start w:val="1"/>
      <w:numFmt w:val="bullet"/>
      <w:lvlText w:val=""/>
      <w:lvlJc w:val="left"/>
      <w:pPr>
        <w:ind w:left="720" w:hanging="360"/>
      </w:pPr>
      <w:rPr>
        <w:rFonts w:ascii="Symbol" w:hAnsi="Symbol"/>
        <w:b w:val="0"/>
      </w:rPr>
    </w:lvl>
    <w:lvl w:ilvl="1" w:tplc="E5F8FF26">
      <w:start w:val="1"/>
      <w:numFmt w:val="bullet"/>
      <w:lvlText w:val="o"/>
      <w:lvlJc w:val="left"/>
      <w:pPr>
        <w:ind w:left="1440" w:hanging="360"/>
      </w:pPr>
      <w:rPr>
        <w:rFonts w:ascii="Courier New" w:hAnsi="Courier New" w:cs="Courier New"/>
      </w:rPr>
    </w:lvl>
    <w:lvl w:ilvl="2" w:tplc="FF807768">
      <w:start w:val="1"/>
      <w:numFmt w:val="bullet"/>
      <w:lvlText w:val=""/>
      <w:lvlJc w:val="left"/>
      <w:pPr>
        <w:ind w:left="2160" w:hanging="360"/>
      </w:pPr>
      <w:rPr>
        <w:rFonts w:ascii="Wingdings" w:hAnsi="Wingdings"/>
      </w:rPr>
    </w:lvl>
    <w:lvl w:ilvl="3" w:tplc="6DFA9862">
      <w:start w:val="1"/>
      <w:numFmt w:val="bullet"/>
      <w:lvlText w:val=""/>
      <w:lvlJc w:val="left"/>
      <w:pPr>
        <w:ind w:left="2880" w:hanging="360"/>
      </w:pPr>
      <w:rPr>
        <w:rFonts w:ascii="Symbol" w:hAnsi="Symbol"/>
      </w:rPr>
    </w:lvl>
    <w:lvl w:ilvl="4" w:tplc="9296F26E">
      <w:start w:val="1"/>
      <w:numFmt w:val="bullet"/>
      <w:lvlText w:val="o"/>
      <w:lvlJc w:val="left"/>
      <w:pPr>
        <w:ind w:left="3600" w:hanging="360"/>
      </w:pPr>
      <w:rPr>
        <w:rFonts w:ascii="Courier New" w:hAnsi="Courier New" w:cs="Courier New"/>
      </w:rPr>
    </w:lvl>
    <w:lvl w:ilvl="5" w:tplc="0E6EFFCC">
      <w:start w:val="1"/>
      <w:numFmt w:val="bullet"/>
      <w:lvlText w:val=""/>
      <w:lvlJc w:val="left"/>
      <w:pPr>
        <w:ind w:left="4320" w:hanging="360"/>
      </w:pPr>
      <w:rPr>
        <w:rFonts w:ascii="Wingdings" w:hAnsi="Wingdings"/>
      </w:rPr>
    </w:lvl>
    <w:lvl w:ilvl="6" w:tplc="B8FC4D5C">
      <w:start w:val="1"/>
      <w:numFmt w:val="bullet"/>
      <w:lvlText w:val=""/>
      <w:lvlJc w:val="left"/>
      <w:pPr>
        <w:ind w:left="5040" w:hanging="360"/>
      </w:pPr>
      <w:rPr>
        <w:rFonts w:ascii="Symbol" w:hAnsi="Symbol"/>
      </w:rPr>
    </w:lvl>
    <w:lvl w:ilvl="7" w:tplc="52701200">
      <w:start w:val="1"/>
      <w:numFmt w:val="bullet"/>
      <w:lvlText w:val="o"/>
      <w:lvlJc w:val="left"/>
      <w:pPr>
        <w:ind w:left="5760" w:hanging="360"/>
      </w:pPr>
      <w:rPr>
        <w:rFonts w:ascii="Courier New" w:hAnsi="Courier New" w:cs="Courier New"/>
      </w:rPr>
    </w:lvl>
    <w:lvl w:ilvl="8" w:tplc="EEF4B054">
      <w:start w:val="1"/>
      <w:numFmt w:val="bullet"/>
      <w:lvlText w:val=""/>
      <w:lvlJc w:val="left"/>
      <w:pPr>
        <w:ind w:left="6480" w:hanging="360"/>
      </w:pPr>
      <w:rPr>
        <w:rFonts w:ascii="Wingdings" w:hAnsi="Wingdings"/>
      </w:rPr>
    </w:lvl>
  </w:abstractNum>
  <w:abstractNum w:abstractNumId="23" w15:restartNumberingAfterBreak="0">
    <w:nsid w:val="541A2CDE"/>
    <w:multiLevelType w:val="hybridMultilevel"/>
    <w:tmpl w:val="0186ED7E"/>
    <w:lvl w:ilvl="0" w:tplc="8182BDB6">
      <w:start w:val="1"/>
      <w:numFmt w:val="bullet"/>
      <w:lvlText w:val=""/>
      <w:lvlJc w:val="left"/>
      <w:pPr>
        <w:tabs>
          <w:tab w:val="num" w:pos="720"/>
        </w:tabs>
        <w:ind w:left="720" w:hanging="360"/>
      </w:pPr>
      <w:rPr>
        <w:rFonts w:ascii="Symbol" w:hAnsi="Symbol"/>
        <w:sz w:val="20"/>
      </w:rPr>
    </w:lvl>
    <w:lvl w:ilvl="1" w:tplc="9F8C3CCA">
      <w:start w:val="1"/>
      <w:numFmt w:val="bullet"/>
      <w:lvlText w:val="o"/>
      <w:lvlJc w:val="left"/>
      <w:pPr>
        <w:tabs>
          <w:tab w:val="num" w:pos="1440"/>
        </w:tabs>
        <w:ind w:left="1440" w:hanging="360"/>
      </w:pPr>
      <w:rPr>
        <w:rFonts w:ascii="Courier New" w:hAnsi="Courier New" w:cs="Times New Roman"/>
        <w:sz w:val="20"/>
      </w:rPr>
    </w:lvl>
    <w:lvl w:ilvl="2" w:tplc="A4AE19C4">
      <w:start w:val="1"/>
      <w:numFmt w:val="bullet"/>
      <w:lvlText w:val=""/>
      <w:lvlJc w:val="left"/>
      <w:pPr>
        <w:tabs>
          <w:tab w:val="num" w:pos="2160"/>
        </w:tabs>
        <w:ind w:left="2160" w:hanging="360"/>
      </w:pPr>
      <w:rPr>
        <w:rFonts w:ascii="Wingdings" w:hAnsi="Wingdings"/>
        <w:sz w:val="20"/>
      </w:rPr>
    </w:lvl>
    <w:lvl w:ilvl="3" w:tplc="CF1AD758">
      <w:start w:val="1"/>
      <w:numFmt w:val="bullet"/>
      <w:lvlText w:val=""/>
      <w:lvlJc w:val="left"/>
      <w:pPr>
        <w:tabs>
          <w:tab w:val="num" w:pos="2880"/>
        </w:tabs>
        <w:ind w:left="2880" w:hanging="360"/>
      </w:pPr>
      <w:rPr>
        <w:rFonts w:ascii="Wingdings" w:hAnsi="Wingdings"/>
        <w:sz w:val="20"/>
      </w:rPr>
    </w:lvl>
    <w:lvl w:ilvl="4" w:tplc="F208BDEC">
      <w:start w:val="1"/>
      <w:numFmt w:val="bullet"/>
      <w:lvlText w:val=""/>
      <w:lvlJc w:val="left"/>
      <w:pPr>
        <w:tabs>
          <w:tab w:val="num" w:pos="3600"/>
        </w:tabs>
        <w:ind w:left="3600" w:hanging="360"/>
      </w:pPr>
      <w:rPr>
        <w:rFonts w:ascii="Wingdings" w:hAnsi="Wingdings"/>
        <w:sz w:val="20"/>
      </w:rPr>
    </w:lvl>
    <w:lvl w:ilvl="5" w:tplc="965CE556">
      <w:start w:val="1"/>
      <w:numFmt w:val="bullet"/>
      <w:lvlText w:val=""/>
      <w:lvlJc w:val="left"/>
      <w:pPr>
        <w:tabs>
          <w:tab w:val="num" w:pos="4320"/>
        </w:tabs>
        <w:ind w:left="4320" w:hanging="360"/>
      </w:pPr>
      <w:rPr>
        <w:rFonts w:ascii="Wingdings" w:hAnsi="Wingdings"/>
        <w:sz w:val="20"/>
      </w:rPr>
    </w:lvl>
    <w:lvl w:ilvl="6" w:tplc="C4DEF812">
      <w:start w:val="1"/>
      <w:numFmt w:val="bullet"/>
      <w:lvlText w:val=""/>
      <w:lvlJc w:val="left"/>
      <w:pPr>
        <w:tabs>
          <w:tab w:val="num" w:pos="5040"/>
        </w:tabs>
        <w:ind w:left="5040" w:hanging="360"/>
      </w:pPr>
      <w:rPr>
        <w:rFonts w:ascii="Wingdings" w:hAnsi="Wingdings"/>
        <w:sz w:val="20"/>
      </w:rPr>
    </w:lvl>
    <w:lvl w:ilvl="7" w:tplc="6E461746">
      <w:start w:val="1"/>
      <w:numFmt w:val="bullet"/>
      <w:lvlText w:val=""/>
      <w:lvlJc w:val="left"/>
      <w:pPr>
        <w:tabs>
          <w:tab w:val="num" w:pos="5760"/>
        </w:tabs>
        <w:ind w:left="5760" w:hanging="360"/>
      </w:pPr>
      <w:rPr>
        <w:rFonts w:ascii="Wingdings" w:hAnsi="Wingdings"/>
        <w:sz w:val="20"/>
      </w:rPr>
    </w:lvl>
    <w:lvl w:ilvl="8" w:tplc="3E9EB448">
      <w:start w:val="1"/>
      <w:numFmt w:val="bullet"/>
      <w:lvlText w:val=""/>
      <w:lvlJc w:val="left"/>
      <w:pPr>
        <w:tabs>
          <w:tab w:val="num" w:pos="6480"/>
        </w:tabs>
        <w:ind w:left="6480" w:hanging="360"/>
      </w:pPr>
      <w:rPr>
        <w:rFonts w:ascii="Wingdings" w:hAnsi="Wingdings"/>
        <w:sz w:val="20"/>
      </w:rPr>
    </w:lvl>
  </w:abstractNum>
  <w:abstractNum w:abstractNumId="24" w15:restartNumberingAfterBreak="0">
    <w:nsid w:val="584631E5"/>
    <w:multiLevelType w:val="hybridMultilevel"/>
    <w:tmpl w:val="B7F60262"/>
    <w:lvl w:ilvl="0" w:tplc="C470AB26">
      <w:start w:val="1"/>
      <w:numFmt w:val="decimal"/>
      <w:lvlText w:val="%1."/>
      <w:lvlJc w:val="left"/>
      <w:pPr>
        <w:ind w:left="720" w:hanging="360"/>
      </w:pPr>
    </w:lvl>
    <w:lvl w:ilvl="1" w:tplc="42621A12">
      <w:start w:val="1"/>
      <w:numFmt w:val="lowerLetter"/>
      <w:lvlText w:val="%2."/>
      <w:lvlJc w:val="left"/>
      <w:pPr>
        <w:ind w:left="1440" w:hanging="360"/>
      </w:pPr>
    </w:lvl>
    <w:lvl w:ilvl="2" w:tplc="7B0C0F44">
      <w:start w:val="1"/>
      <w:numFmt w:val="lowerRoman"/>
      <w:lvlText w:val="%3."/>
      <w:lvlJc w:val="right"/>
      <w:pPr>
        <w:ind w:left="2160" w:hanging="180"/>
      </w:pPr>
    </w:lvl>
    <w:lvl w:ilvl="3" w:tplc="229C3998">
      <w:start w:val="1"/>
      <w:numFmt w:val="decimal"/>
      <w:lvlText w:val="%4."/>
      <w:lvlJc w:val="left"/>
      <w:pPr>
        <w:ind w:left="2880" w:hanging="360"/>
      </w:pPr>
    </w:lvl>
    <w:lvl w:ilvl="4" w:tplc="02D2928C">
      <w:start w:val="1"/>
      <w:numFmt w:val="lowerLetter"/>
      <w:lvlText w:val="%5."/>
      <w:lvlJc w:val="left"/>
      <w:pPr>
        <w:ind w:left="3600" w:hanging="360"/>
      </w:pPr>
    </w:lvl>
    <w:lvl w:ilvl="5" w:tplc="A51CB97C">
      <w:start w:val="1"/>
      <w:numFmt w:val="lowerRoman"/>
      <w:lvlText w:val="%6."/>
      <w:lvlJc w:val="right"/>
      <w:pPr>
        <w:ind w:left="4320" w:hanging="180"/>
      </w:pPr>
    </w:lvl>
    <w:lvl w:ilvl="6" w:tplc="74C044DE">
      <w:start w:val="1"/>
      <w:numFmt w:val="decimal"/>
      <w:lvlText w:val="%7."/>
      <w:lvlJc w:val="left"/>
      <w:pPr>
        <w:ind w:left="5040" w:hanging="360"/>
      </w:pPr>
    </w:lvl>
    <w:lvl w:ilvl="7" w:tplc="58F2AD4C">
      <w:start w:val="1"/>
      <w:numFmt w:val="lowerLetter"/>
      <w:lvlText w:val="%8."/>
      <w:lvlJc w:val="left"/>
      <w:pPr>
        <w:ind w:left="5760" w:hanging="360"/>
      </w:pPr>
    </w:lvl>
    <w:lvl w:ilvl="8" w:tplc="CD1E95B0">
      <w:start w:val="1"/>
      <w:numFmt w:val="lowerRoman"/>
      <w:lvlText w:val="%9."/>
      <w:lvlJc w:val="right"/>
      <w:pPr>
        <w:ind w:left="6480" w:hanging="180"/>
      </w:pPr>
    </w:lvl>
  </w:abstractNum>
  <w:abstractNum w:abstractNumId="25" w15:restartNumberingAfterBreak="0">
    <w:nsid w:val="63242225"/>
    <w:multiLevelType w:val="hybridMultilevel"/>
    <w:tmpl w:val="38A46100"/>
    <w:lvl w:ilvl="0" w:tplc="9572E15C">
      <w:start w:val="1"/>
      <w:numFmt w:val="bullet"/>
      <w:lvlText w:val=""/>
      <w:lvlJc w:val="left"/>
      <w:rPr>
        <w:rFonts w:ascii="Symbol" w:hAnsi="Symbol"/>
        <w:sz w:val="24"/>
        <w:szCs w:val="24"/>
      </w:rPr>
    </w:lvl>
    <w:lvl w:ilvl="1" w:tplc="3048A1F4">
      <w:start w:val="1"/>
      <w:numFmt w:val="bullet"/>
      <w:lvlText w:val="o"/>
      <w:lvlJc w:val="left"/>
      <w:rPr>
        <w:rFonts w:ascii="Courier New" w:hAnsi="Courier New" w:cs="Courier New"/>
        <w:sz w:val="24"/>
        <w:szCs w:val="24"/>
      </w:rPr>
    </w:lvl>
    <w:lvl w:ilvl="2" w:tplc="9DB227D6">
      <w:start w:val="1"/>
      <w:numFmt w:val="bullet"/>
      <w:lvlText w:val="§"/>
      <w:lvlJc w:val="left"/>
      <w:rPr>
        <w:rFonts w:ascii="Times New Roman" w:hAnsi="Times New Roman" w:cs="Times New Roman"/>
        <w:sz w:val="24"/>
        <w:szCs w:val="24"/>
      </w:rPr>
    </w:lvl>
    <w:lvl w:ilvl="3" w:tplc="C194007E">
      <w:start w:val="1"/>
      <w:numFmt w:val="bullet"/>
      <w:lvlText w:val="·"/>
      <w:lvlJc w:val="left"/>
      <w:rPr>
        <w:rFonts w:ascii="Times New Roman" w:hAnsi="Times New Roman" w:cs="Times New Roman"/>
        <w:sz w:val="24"/>
        <w:szCs w:val="24"/>
      </w:rPr>
    </w:lvl>
    <w:lvl w:ilvl="4" w:tplc="542CAA12">
      <w:start w:val="1"/>
      <w:numFmt w:val="bullet"/>
      <w:lvlText w:val="o"/>
      <w:lvlJc w:val="left"/>
      <w:rPr>
        <w:rFonts w:ascii="Courier New" w:hAnsi="Courier New" w:cs="Courier New"/>
        <w:sz w:val="24"/>
        <w:szCs w:val="24"/>
      </w:rPr>
    </w:lvl>
    <w:lvl w:ilvl="5" w:tplc="E638A884">
      <w:start w:val="1"/>
      <w:numFmt w:val="bullet"/>
      <w:lvlText w:val="§"/>
      <w:lvlJc w:val="left"/>
      <w:rPr>
        <w:rFonts w:ascii="Times New Roman" w:hAnsi="Times New Roman" w:cs="Times New Roman"/>
        <w:sz w:val="24"/>
        <w:szCs w:val="24"/>
      </w:rPr>
    </w:lvl>
    <w:lvl w:ilvl="6" w:tplc="72B88D44">
      <w:start w:val="1"/>
      <w:numFmt w:val="bullet"/>
      <w:lvlText w:val="·"/>
      <w:lvlJc w:val="left"/>
      <w:rPr>
        <w:rFonts w:ascii="Times New Roman" w:hAnsi="Times New Roman" w:cs="Times New Roman"/>
        <w:sz w:val="24"/>
        <w:szCs w:val="24"/>
      </w:rPr>
    </w:lvl>
    <w:lvl w:ilvl="7" w:tplc="0FFA31C4">
      <w:start w:val="1"/>
      <w:numFmt w:val="bullet"/>
      <w:lvlText w:val="o"/>
      <w:lvlJc w:val="left"/>
      <w:rPr>
        <w:rFonts w:ascii="Courier New" w:hAnsi="Courier New" w:cs="Courier New"/>
        <w:sz w:val="24"/>
        <w:szCs w:val="24"/>
      </w:rPr>
    </w:lvl>
    <w:lvl w:ilvl="8" w:tplc="A518114C">
      <w:start w:val="1"/>
      <w:numFmt w:val="bullet"/>
      <w:lvlText w:val="§"/>
      <w:lvlJc w:val="left"/>
      <w:rPr>
        <w:rFonts w:ascii="Times New Roman" w:hAnsi="Times New Roman" w:cs="Times New Roman"/>
        <w:sz w:val="24"/>
        <w:szCs w:val="24"/>
      </w:rPr>
    </w:lvl>
  </w:abstractNum>
  <w:abstractNum w:abstractNumId="26" w15:restartNumberingAfterBreak="0">
    <w:nsid w:val="68D873DF"/>
    <w:multiLevelType w:val="hybridMultilevel"/>
    <w:tmpl w:val="F86AAD6A"/>
    <w:lvl w:ilvl="0" w:tplc="6FA21CE6">
      <w:start w:val="1"/>
      <w:numFmt w:val="bullet"/>
      <w:lvlText w:val=""/>
      <w:lvlJc w:val="left"/>
      <w:pPr>
        <w:ind w:left="862" w:hanging="360"/>
      </w:pPr>
      <w:rPr>
        <w:rFonts w:ascii="Symbol" w:hAnsi="Symbol"/>
        <w:color w:val="000000"/>
      </w:rPr>
    </w:lvl>
    <w:lvl w:ilvl="1" w:tplc="F49CC522">
      <w:start w:val="1"/>
      <w:numFmt w:val="bullet"/>
      <w:lvlText w:val="o"/>
      <w:lvlJc w:val="left"/>
      <w:pPr>
        <w:ind w:left="1582" w:hanging="360"/>
      </w:pPr>
      <w:rPr>
        <w:rFonts w:ascii="Courier New" w:hAnsi="Courier New" w:cs="Courier New"/>
      </w:rPr>
    </w:lvl>
    <w:lvl w:ilvl="2" w:tplc="31469542">
      <w:start w:val="1"/>
      <w:numFmt w:val="bullet"/>
      <w:lvlText w:val=""/>
      <w:lvlJc w:val="left"/>
      <w:pPr>
        <w:ind w:left="2302" w:hanging="360"/>
      </w:pPr>
      <w:rPr>
        <w:rFonts w:ascii="Wingdings" w:hAnsi="Wingdings"/>
      </w:rPr>
    </w:lvl>
    <w:lvl w:ilvl="3" w:tplc="78443BDA">
      <w:start w:val="1"/>
      <w:numFmt w:val="bullet"/>
      <w:lvlText w:val=""/>
      <w:lvlJc w:val="left"/>
      <w:pPr>
        <w:ind w:left="3022" w:hanging="360"/>
      </w:pPr>
      <w:rPr>
        <w:rFonts w:ascii="Symbol" w:hAnsi="Symbol"/>
      </w:rPr>
    </w:lvl>
    <w:lvl w:ilvl="4" w:tplc="9C90DD92">
      <w:start w:val="1"/>
      <w:numFmt w:val="bullet"/>
      <w:lvlText w:val="o"/>
      <w:lvlJc w:val="left"/>
      <w:pPr>
        <w:ind w:left="3742" w:hanging="360"/>
      </w:pPr>
      <w:rPr>
        <w:rFonts w:ascii="Courier New" w:hAnsi="Courier New" w:cs="Courier New"/>
      </w:rPr>
    </w:lvl>
    <w:lvl w:ilvl="5" w:tplc="DCE0F7BA">
      <w:start w:val="1"/>
      <w:numFmt w:val="bullet"/>
      <w:lvlText w:val=""/>
      <w:lvlJc w:val="left"/>
      <w:pPr>
        <w:ind w:left="4462" w:hanging="360"/>
      </w:pPr>
      <w:rPr>
        <w:rFonts w:ascii="Wingdings" w:hAnsi="Wingdings"/>
      </w:rPr>
    </w:lvl>
    <w:lvl w:ilvl="6" w:tplc="24088BCC">
      <w:start w:val="1"/>
      <w:numFmt w:val="bullet"/>
      <w:lvlText w:val=""/>
      <w:lvlJc w:val="left"/>
      <w:pPr>
        <w:ind w:left="5182" w:hanging="360"/>
      </w:pPr>
      <w:rPr>
        <w:rFonts w:ascii="Symbol" w:hAnsi="Symbol"/>
      </w:rPr>
    </w:lvl>
    <w:lvl w:ilvl="7" w:tplc="A03A57D0">
      <w:start w:val="1"/>
      <w:numFmt w:val="bullet"/>
      <w:lvlText w:val="o"/>
      <w:lvlJc w:val="left"/>
      <w:pPr>
        <w:ind w:left="5902" w:hanging="360"/>
      </w:pPr>
      <w:rPr>
        <w:rFonts w:ascii="Courier New" w:hAnsi="Courier New" w:cs="Courier New"/>
      </w:rPr>
    </w:lvl>
    <w:lvl w:ilvl="8" w:tplc="576E67B6">
      <w:start w:val="1"/>
      <w:numFmt w:val="bullet"/>
      <w:lvlText w:val=""/>
      <w:lvlJc w:val="left"/>
      <w:pPr>
        <w:ind w:left="6622" w:hanging="360"/>
      </w:pPr>
      <w:rPr>
        <w:rFonts w:ascii="Wingdings" w:hAnsi="Wingdings"/>
      </w:rPr>
    </w:lvl>
  </w:abstractNum>
  <w:abstractNum w:abstractNumId="27" w15:restartNumberingAfterBreak="0">
    <w:nsid w:val="6DC01E5D"/>
    <w:multiLevelType w:val="hybridMultilevel"/>
    <w:tmpl w:val="2C924218"/>
    <w:lvl w:ilvl="0" w:tplc="10E474CC">
      <w:start w:val="1"/>
      <w:numFmt w:val="bullet"/>
      <w:lvlText w:val=""/>
      <w:lvlJc w:val="left"/>
      <w:rPr>
        <w:rFonts w:ascii="Symbol" w:hAnsi="Symbol"/>
        <w:color w:val="000000"/>
        <w:sz w:val="24"/>
        <w:szCs w:val="24"/>
      </w:rPr>
    </w:lvl>
    <w:lvl w:ilvl="1" w:tplc="3B2C890C">
      <w:start w:val="1"/>
      <w:numFmt w:val="bullet"/>
      <w:lvlText w:val="o"/>
      <w:lvlJc w:val="left"/>
      <w:rPr>
        <w:rFonts w:ascii="Courier New" w:hAnsi="Courier New" w:cs="Courier New"/>
        <w:sz w:val="24"/>
        <w:szCs w:val="24"/>
      </w:rPr>
    </w:lvl>
    <w:lvl w:ilvl="2" w:tplc="28D82B82">
      <w:start w:val="1"/>
      <w:numFmt w:val="bullet"/>
      <w:lvlText w:val="§"/>
      <w:lvlJc w:val="left"/>
      <w:rPr>
        <w:rFonts w:ascii="Times New Roman" w:hAnsi="Times New Roman" w:cs="Times New Roman"/>
        <w:sz w:val="24"/>
        <w:szCs w:val="24"/>
      </w:rPr>
    </w:lvl>
    <w:lvl w:ilvl="3" w:tplc="76506034">
      <w:start w:val="1"/>
      <w:numFmt w:val="bullet"/>
      <w:lvlText w:val="·"/>
      <w:lvlJc w:val="left"/>
      <w:rPr>
        <w:rFonts w:ascii="Times New Roman" w:hAnsi="Times New Roman" w:cs="Times New Roman"/>
        <w:sz w:val="24"/>
        <w:szCs w:val="24"/>
      </w:rPr>
    </w:lvl>
    <w:lvl w:ilvl="4" w:tplc="0AD87BBE">
      <w:start w:val="1"/>
      <w:numFmt w:val="bullet"/>
      <w:lvlText w:val="o"/>
      <w:lvlJc w:val="left"/>
      <w:rPr>
        <w:rFonts w:ascii="Courier New" w:hAnsi="Courier New" w:cs="Courier New"/>
        <w:sz w:val="24"/>
        <w:szCs w:val="24"/>
      </w:rPr>
    </w:lvl>
    <w:lvl w:ilvl="5" w:tplc="B65460D8">
      <w:start w:val="1"/>
      <w:numFmt w:val="bullet"/>
      <w:lvlText w:val="§"/>
      <w:lvlJc w:val="left"/>
      <w:rPr>
        <w:rFonts w:ascii="Times New Roman" w:hAnsi="Times New Roman" w:cs="Times New Roman"/>
        <w:sz w:val="24"/>
        <w:szCs w:val="24"/>
      </w:rPr>
    </w:lvl>
    <w:lvl w:ilvl="6" w:tplc="98544D36">
      <w:start w:val="1"/>
      <w:numFmt w:val="bullet"/>
      <w:lvlText w:val="·"/>
      <w:lvlJc w:val="left"/>
      <w:rPr>
        <w:rFonts w:ascii="Times New Roman" w:hAnsi="Times New Roman" w:cs="Times New Roman"/>
        <w:sz w:val="24"/>
        <w:szCs w:val="24"/>
      </w:rPr>
    </w:lvl>
    <w:lvl w:ilvl="7" w:tplc="87DEB1C4">
      <w:start w:val="1"/>
      <w:numFmt w:val="bullet"/>
      <w:lvlText w:val="o"/>
      <w:lvlJc w:val="left"/>
      <w:rPr>
        <w:rFonts w:ascii="Courier New" w:hAnsi="Courier New" w:cs="Courier New"/>
        <w:sz w:val="24"/>
        <w:szCs w:val="24"/>
      </w:rPr>
    </w:lvl>
    <w:lvl w:ilvl="8" w:tplc="32AEA6E0">
      <w:start w:val="1"/>
      <w:numFmt w:val="bullet"/>
      <w:lvlText w:val="§"/>
      <w:lvlJc w:val="left"/>
      <w:rPr>
        <w:rFonts w:ascii="Times New Roman" w:hAnsi="Times New Roman" w:cs="Times New Roman"/>
        <w:sz w:val="24"/>
        <w:szCs w:val="24"/>
      </w:rPr>
    </w:lvl>
  </w:abstractNum>
  <w:abstractNum w:abstractNumId="28" w15:restartNumberingAfterBreak="0">
    <w:nsid w:val="722A024F"/>
    <w:multiLevelType w:val="hybridMultilevel"/>
    <w:tmpl w:val="A4DC228A"/>
    <w:lvl w:ilvl="0" w:tplc="6F06D1C8">
      <w:start w:val="1"/>
      <w:numFmt w:val="bullet"/>
      <w:lvlText w:val=""/>
      <w:lvlJc w:val="left"/>
      <w:pPr>
        <w:ind w:left="862" w:hanging="360"/>
      </w:pPr>
      <w:rPr>
        <w:rFonts w:ascii="Symbol" w:hAnsi="Symbol"/>
        <w:color w:val="000000"/>
      </w:rPr>
    </w:lvl>
    <w:lvl w:ilvl="1" w:tplc="63320404">
      <w:start w:val="1"/>
      <w:numFmt w:val="bullet"/>
      <w:lvlText w:val="o"/>
      <w:lvlJc w:val="left"/>
      <w:pPr>
        <w:ind w:left="1582" w:hanging="360"/>
      </w:pPr>
      <w:rPr>
        <w:rFonts w:ascii="Courier New" w:hAnsi="Courier New" w:cs="Courier New"/>
      </w:rPr>
    </w:lvl>
    <w:lvl w:ilvl="2" w:tplc="55FAE57E">
      <w:start w:val="1"/>
      <w:numFmt w:val="bullet"/>
      <w:lvlText w:val=""/>
      <w:lvlJc w:val="left"/>
      <w:pPr>
        <w:ind w:left="2302" w:hanging="360"/>
      </w:pPr>
      <w:rPr>
        <w:rFonts w:ascii="Wingdings" w:hAnsi="Wingdings"/>
      </w:rPr>
    </w:lvl>
    <w:lvl w:ilvl="3" w:tplc="C5388958">
      <w:start w:val="1"/>
      <w:numFmt w:val="bullet"/>
      <w:lvlText w:val=""/>
      <w:lvlJc w:val="left"/>
      <w:pPr>
        <w:ind w:left="3022" w:hanging="360"/>
      </w:pPr>
      <w:rPr>
        <w:rFonts w:ascii="Symbol" w:hAnsi="Symbol"/>
      </w:rPr>
    </w:lvl>
    <w:lvl w:ilvl="4" w:tplc="6928B7DE">
      <w:start w:val="1"/>
      <w:numFmt w:val="bullet"/>
      <w:lvlText w:val="o"/>
      <w:lvlJc w:val="left"/>
      <w:pPr>
        <w:ind w:left="3742" w:hanging="360"/>
      </w:pPr>
      <w:rPr>
        <w:rFonts w:ascii="Courier New" w:hAnsi="Courier New" w:cs="Courier New"/>
      </w:rPr>
    </w:lvl>
    <w:lvl w:ilvl="5" w:tplc="5FDCEC1E">
      <w:start w:val="1"/>
      <w:numFmt w:val="bullet"/>
      <w:lvlText w:val=""/>
      <w:lvlJc w:val="left"/>
      <w:pPr>
        <w:ind w:left="4462" w:hanging="360"/>
      </w:pPr>
      <w:rPr>
        <w:rFonts w:ascii="Wingdings" w:hAnsi="Wingdings"/>
      </w:rPr>
    </w:lvl>
    <w:lvl w:ilvl="6" w:tplc="B91E284A">
      <w:start w:val="1"/>
      <w:numFmt w:val="bullet"/>
      <w:lvlText w:val=""/>
      <w:lvlJc w:val="left"/>
      <w:pPr>
        <w:ind w:left="5182" w:hanging="360"/>
      </w:pPr>
      <w:rPr>
        <w:rFonts w:ascii="Symbol" w:hAnsi="Symbol"/>
      </w:rPr>
    </w:lvl>
    <w:lvl w:ilvl="7" w:tplc="F57E8D8C">
      <w:start w:val="1"/>
      <w:numFmt w:val="bullet"/>
      <w:lvlText w:val="o"/>
      <w:lvlJc w:val="left"/>
      <w:pPr>
        <w:ind w:left="5902" w:hanging="360"/>
      </w:pPr>
      <w:rPr>
        <w:rFonts w:ascii="Courier New" w:hAnsi="Courier New" w:cs="Courier New"/>
      </w:rPr>
    </w:lvl>
    <w:lvl w:ilvl="8" w:tplc="A33E08FA">
      <w:start w:val="1"/>
      <w:numFmt w:val="bullet"/>
      <w:lvlText w:val=""/>
      <w:lvlJc w:val="left"/>
      <w:pPr>
        <w:ind w:left="6622" w:hanging="360"/>
      </w:pPr>
      <w:rPr>
        <w:rFonts w:ascii="Wingdings" w:hAnsi="Wingdings"/>
      </w:rPr>
    </w:lvl>
  </w:abstractNum>
  <w:abstractNum w:abstractNumId="29" w15:restartNumberingAfterBreak="0">
    <w:nsid w:val="722A734D"/>
    <w:multiLevelType w:val="hybridMultilevel"/>
    <w:tmpl w:val="2674B39C"/>
    <w:lvl w:ilvl="0" w:tplc="00400FC8">
      <w:start w:val="1"/>
      <w:numFmt w:val="bullet"/>
      <w:lvlText w:val="-"/>
      <w:lvlJc w:val="left"/>
      <w:pPr>
        <w:ind w:left="540"/>
      </w:pPr>
      <w:rPr>
        <w:rFonts w:ascii="Times New Roman" w:eastAsia="Times New Roman" w:hAnsi="Times New Roman" w:cs="Times New Roman"/>
        <w:b/>
        <w:bCs/>
        <w:i/>
        <w:iCs/>
        <w:strike w:val="0"/>
        <w:color w:val="000000"/>
        <w:sz w:val="24"/>
        <w:szCs w:val="24"/>
        <w:u w:val="none"/>
        <w:shd w:val="clear" w:color="auto" w:fill="auto"/>
        <w:vertAlign w:val="baseline"/>
      </w:rPr>
    </w:lvl>
    <w:lvl w:ilvl="1" w:tplc="CDACD476">
      <w:start w:val="1"/>
      <w:numFmt w:val="bullet"/>
      <w:lvlText w:val="o"/>
      <w:lvlJc w:val="left"/>
      <w:pPr>
        <w:ind w:left="1620"/>
      </w:pPr>
      <w:rPr>
        <w:rFonts w:ascii="Times New Roman" w:eastAsia="Times New Roman" w:hAnsi="Times New Roman" w:cs="Times New Roman"/>
        <w:b/>
        <w:bCs/>
        <w:i/>
        <w:iCs/>
        <w:strike w:val="0"/>
        <w:color w:val="000000"/>
        <w:sz w:val="24"/>
        <w:szCs w:val="24"/>
        <w:u w:val="none"/>
        <w:shd w:val="clear" w:color="auto" w:fill="auto"/>
        <w:vertAlign w:val="baseline"/>
      </w:rPr>
    </w:lvl>
    <w:lvl w:ilvl="2" w:tplc="3C98E6DA">
      <w:start w:val="1"/>
      <w:numFmt w:val="bullet"/>
      <w:lvlText w:val="▪"/>
      <w:lvlJc w:val="left"/>
      <w:pPr>
        <w:ind w:left="2340"/>
      </w:pPr>
      <w:rPr>
        <w:rFonts w:ascii="Times New Roman" w:eastAsia="Times New Roman" w:hAnsi="Times New Roman" w:cs="Times New Roman"/>
        <w:b/>
        <w:bCs/>
        <w:i/>
        <w:iCs/>
        <w:strike w:val="0"/>
        <w:color w:val="000000"/>
        <w:sz w:val="24"/>
        <w:szCs w:val="24"/>
        <w:u w:val="none"/>
        <w:shd w:val="clear" w:color="auto" w:fill="auto"/>
        <w:vertAlign w:val="baseline"/>
      </w:rPr>
    </w:lvl>
    <w:lvl w:ilvl="3" w:tplc="E3DE6326">
      <w:start w:val="1"/>
      <w:numFmt w:val="bullet"/>
      <w:lvlText w:val="•"/>
      <w:lvlJc w:val="left"/>
      <w:pPr>
        <w:ind w:left="3060"/>
      </w:pPr>
      <w:rPr>
        <w:rFonts w:ascii="Times New Roman" w:eastAsia="Times New Roman" w:hAnsi="Times New Roman" w:cs="Times New Roman"/>
        <w:b/>
        <w:bCs/>
        <w:i/>
        <w:iCs/>
        <w:strike w:val="0"/>
        <w:color w:val="000000"/>
        <w:sz w:val="24"/>
        <w:szCs w:val="24"/>
        <w:u w:val="none"/>
        <w:shd w:val="clear" w:color="auto" w:fill="auto"/>
        <w:vertAlign w:val="baseline"/>
      </w:rPr>
    </w:lvl>
    <w:lvl w:ilvl="4" w:tplc="20F00B1A">
      <w:start w:val="1"/>
      <w:numFmt w:val="bullet"/>
      <w:lvlText w:val="o"/>
      <w:lvlJc w:val="left"/>
      <w:pPr>
        <w:ind w:left="3780"/>
      </w:pPr>
      <w:rPr>
        <w:rFonts w:ascii="Times New Roman" w:eastAsia="Times New Roman" w:hAnsi="Times New Roman" w:cs="Times New Roman"/>
        <w:b/>
        <w:bCs/>
        <w:i/>
        <w:iCs/>
        <w:strike w:val="0"/>
        <w:color w:val="000000"/>
        <w:sz w:val="24"/>
        <w:szCs w:val="24"/>
        <w:u w:val="none"/>
        <w:shd w:val="clear" w:color="auto" w:fill="auto"/>
        <w:vertAlign w:val="baseline"/>
      </w:rPr>
    </w:lvl>
    <w:lvl w:ilvl="5" w:tplc="22FA5196">
      <w:start w:val="1"/>
      <w:numFmt w:val="bullet"/>
      <w:lvlText w:val="▪"/>
      <w:lvlJc w:val="left"/>
      <w:pPr>
        <w:ind w:left="4500"/>
      </w:pPr>
      <w:rPr>
        <w:rFonts w:ascii="Times New Roman" w:eastAsia="Times New Roman" w:hAnsi="Times New Roman" w:cs="Times New Roman"/>
        <w:b/>
        <w:bCs/>
        <w:i/>
        <w:iCs/>
        <w:strike w:val="0"/>
        <w:color w:val="000000"/>
        <w:sz w:val="24"/>
        <w:szCs w:val="24"/>
        <w:u w:val="none"/>
        <w:shd w:val="clear" w:color="auto" w:fill="auto"/>
        <w:vertAlign w:val="baseline"/>
      </w:rPr>
    </w:lvl>
    <w:lvl w:ilvl="6" w:tplc="373C8146">
      <w:start w:val="1"/>
      <w:numFmt w:val="bullet"/>
      <w:lvlText w:val="•"/>
      <w:lvlJc w:val="left"/>
      <w:pPr>
        <w:ind w:left="5220"/>
      </w:pPr>
      <w:rPr>
        <w:rFonts w:ascii="Times New Roman" w:eastAsia="Times New Roman" w:hAnsi="Times New Roman" w:cs="Times New Roman"/>
        <w:b/>
        <w:bCs/>
        <w:i/>
        <w:iCs/>
        <w:strike w:val="0"/>
        <w:color w:val="000000"/>
        <w:sz w:val="24"/>
        <w:szCs w:val="24"/>
        <w:u w:val="none"/>
        <w:shd w:val="clear" w:color="auto" w:fill="auto"/>
        <w:vertAlign w:val="baseline"/>
      </w:rPr>
    </w:lvl>
    <w:lvl w:ilvl="7" w:tplc="BA328BC4">
      <w:start w:val="1"/>
      <w:numFmt w:val="bullet"/>
      <w:lvlText w:val="o"/>
      <w:lvlJc w:val="left"/>
      <w:pPr>
        <w:ind w:left="5940"/>
      </w:pPr>
      <w:rPr>
        <w:rFonts w:ascii="Times New Roman" w:eastAsia="Times New Roman" w:hAnsi="Times New Roman" w:cs="Times New Roman"/>
        <w:b/>
        <w:bCs/>
        <w:i/>
        <w:iCs/>
        <w:strike w:val="0"/>
        <w:color w:val="000000"/>
        <w:sz w:val="24"/>
        <w:szCs w:val="24"/>
        <w:u w:val="none"/>
        <w:shd w:val="clear" w:color="auto" w:fill="auto"/>
        <w:vertAlign w:val="baseline"/>
      </w:rPr>
    </w:lvl>
    <w:lvl w:ilvl="8" w:tplc="3FC02FE0">
      <w:start w:val="1"/>
      <w:numFmt w:val="bullet"/>
      <w:lvlText w:val="▪"/>
      <w:lvlJc w:val="left"/>
      <w:pPr>
        <w:ind w:left="6660"/>
      </w:pPr>
      <w:rPr>
        <w:rFonts w:ascii="Times New Roman" w:eastAsia="Times New Roman" w:hAnsi="Times New Roman" w:cs="Times New Roman"/>
        <w:b/>
        <w:bCs/>
        <w:i/>
        <w:iCs/>
        <w:strike w:val="0"/>
        <w:color w:val="000000"/>
        <w:sz w:val="24"/>
        <w:szCs w:val="24"/>
        <w:u w:val="none"/>
        <w:shd w:val="clear" w:color="auto" w:fill="auto"/>
        <w:vertAlign w:val="baseline"/>
      </w:rPr>
    </w:lvl>
  </w:abstractNum>
  <w:abstractNum w:abstractNumId="30" w15:restartNumberingAfterBreak="0">
    <w:nsid w:val="724D41CA"/>
    <w:multiLevelType w:val="hybridMultilevel"/>
    <w:tmpl w:val="642698B2"/>
    <w:lvl w:ilvl="0" w:tplc="8ECCCFD8">
      <w:start w:val="1"/>
      <w:numFmt w:val="bullet"/>
      <w:lvlText w:val="-"/>
      <w:lvlJc w:val="left"/>
      <w:pPr>
        <w:ind w:left="1004" w:hanging="360"/>
      </w:pPr>
      <w:rPr>
        <w:rFonts w:ascii="Courier New" w:hAnsi="Courier New"/>
        <w:sz w:val="24"/>
      </w:rPr>
    </w:lvl>
    <w:lvl w:ilvl="1" w:tplc="06CC19C8">
      <w:start w:val="1"/>
      <w:numFmt w:val="bullet"/>
      <w:lvlText w:val="o"/>
      <w:lvlJc w:val="left"/>
      <w:pPr>
        <w:ind w:left="1724" w:hanging="360"/>
      </w:pPr>
      <w:rPr>
        <w:rFonts w:ascii="Courier New" w:hAnsi="Courier New" w:cs="Courier New"/>
      </w:rPr>
    </w:lvl>
    <w:lvl w:ilvl="2" w:tplc="5D448C6C">
      <w:start w:val="1"/>
      <w:numFmt w:val="bullet"/>
      <w:lvlText w:val=""/>
      <w:lvlJc w:val="left"/>
      <w:pPr>
        <w:ind w:left="2444" w:hanging="360"/>
      </w:pPr>
      <w:rPr>
        <w:rFonts w:ascii="Wingdings" w:hAnsi="Wingdings"/>
      </w:rPr>
    </w:lvl>
    <w:lvl w:ilvl="3" w:tplc="86BC4A1A">
      <w:start w:val="1"/>
      <w:numFmt w:val="bullet"/>
      <w:lvlText w:val=""/>
      <w:lvlJc w:val="left"/>
      <w:pPr>
        <w:ind w:left="3164" w:hanging="360"/>
      </w:pPr>
      <w:rPr>
        <w:rFonts w:ascii="Symbol" w:hAnsi="Symbol"/>
      </w:rPr>
    </w:lvl>
    <w:lvl w:ilvl="4" w:tplc="3ACAE65E">
      <w:start w:val="1"/>
      <w:numFmt w:val="bullet"/>
      <w:lvlText w:val="o"/>
      <w:lvlJc w:val="left"/>
      <w:pPr>
        <w:ind w:left="3884" w:hanging="360"/>
      </w:pPr>
      <w:rPr>
        <w:rFonts w:ascii="Courier New" w:hAnsi="Courier New" w:cs="Courier New"/>
      </w:rPr>
    </w:lvl>
    <w:lvl w:ilvl="5" w:tplc="634497DE">
      <w:start w:val="1"/>
      <w:numFmt w:val="bullet"/>
      <w:lvlText w:val=""/>
      <w:lvlJc w:val="left"/>
      <w:pPr>
        <w:ind w:left="4604" w:hanging="360"/>
      </w:pPr>
      <w:rPr>
        <w:rFonts w:ascii="Wingdings" w:hAnsi="Wingdings"/>
      </w:rPr>
    </w:lvl>
    <w:lvl w:ilvl="6" w:tplc="9334BEEC">
      <w:start w:val="1"/>
      <w:numFmt w:val="bullet"/>
      <w:lvlText w:val=""/>
      <w:lvlJc w:val="left"/>
      <w:pPr>
        <w:ind w:left="5324" w:hanging="360"/>
      </w:pPr>
      <w:rPr>
        <w:rFonts w:ascii="Symbol" w:hAnsi="Symbol"/>
      </w:rPr>
    </w:lvl>
    <w:lvl w:ilvl="7" w:tplc="EE74990C">
      <w:start w:val="1"/>
      <w:numFmt w:val="bullet"/>
      <w:lvlText w:val="o"/>
      <w:lvlJc w:val="left"/>
      <w:pPr>
        <w:ind w:left="6044" w:hanging="360"/>
      </w:pPr>
      <w:rPr>
        <w:rFonts w:ascii="Courier New" w:hAnsi="Courier New" w:cs="Courier New"/>
      </w:rPr>
    </w:lvl>
    <w:lvl w:ilvl="8" w:tplc="EC9EE782">
      <w:start w:val="1"/>
      <w:numFmt w:val="bullet"/>
      <w:lvlText w:val=""/>
      <w:lvlJc w:val="left"/>
      <w:pPr>
        <w:ind w:left="6764" w:hanging="360"/>
      </w:pPr>
      <w:rPr>
        <w:rFonts w:ascii="Wingdings" w:hAnsi="Wingdings"/>
      </w:rPr>
    </w:lvl>
  </w:abstractNum>
  <w:abstractNum w:abstractNumId="31" w15:restartNumberingAfterBreak="0">
    <w:nsid w:val="75853E75"/>
    <w:multiLevelType w:val="hybridMultilevel"/>
    <w:tmpl w:val="AE2A10E8"/>
    <w:lvl w:ilvl="0" w:tplc="E6FE465E">
      <w:start w:val="1"/>
      <w:numFmt w:val="bullet"/>
      <w:lvlText w:val=""/>
      <w:lvlJc w:val="left"/>
      <w:pPr>
        <w:tabs>
          <w:tab w:val="num" w:pos="0"/>
        </w:tabs>
        <w:ind w:left="720" w:hanging="360"/>
      </w:pPr>
      <w:rPr>
        <w:rFonts w:ascii="Symbol" w:hAnsi="Symbol" w:cs="Symbol" w:hint="default"/>
      </w:rPr>
    </w:lvl>
    <w:lvl w:ilvl="1" w:tplc="DD0CBB4E">
      <w:start w:val="1"/>
      <w:numFmt w:val="bullet"/>
      <w:lvlText w:val="o"/>
      <w:lvlJc w:val="left"/>
      <w:pPr>
        <w:tabs>
          <w:tab w:val="num" w:pos="0"/>
        </w:tabs>
        <w:ind w:left="1440" w:hanging="360"/>
      </w:pPr>
      <w:rPr>
        <w:rFonts w:ascii="Courier New" w:hAnsi="Courier New" w:cs="Courier New" w:hint="default"/>
      </w:rPr>
    </w:lvl>
    <w:lvl w:ilvl="2" w:tplc="2334E918">
      <w:start w:val="1"/>
      <w:numFmt w:val="bullet"/>
      <w:lvlText w:val=""/>
      <w:lvlJc w:val="left"/>
      <w:pPr>
        <w:tabs>
          <w:tab w:val="num" w:pos="0"/>
        </w:tabs>
        <w:ind w:left="2160" w:hanging="360"/>
      </w:pPr>
      <w:rPr>
        <w:rFonts w:ascii="Wingdings" w:hAnsi="Wingdings" w:cs="Wingdings" w:hint="default"/>
      </w:rPr>
    </w:lvl>
    <w:lvl w:ilvl="3" w:tplc="BCC21842">
      <w:start w:val="1"/>
      <w:numFmt w:val="bullet"/>
      <w:lvlText w:val=""/>
      <w:lvlJc w:val="left"/>
      <w:pPr>
        <w:tabs>
          <w:tab w:val="num" w:pos="0"/>
        </w:tabs>
        <w:ind w:left="2880" w:hanging="360"/>
      </w:pPr>
      <w:rPr>
        <w:rFonts w:ascii="Symbol" w:hAnsi="Symbol" w:cs="Symbol" w:hint="default"/>
      </w:rPr>
    </w:lvl>
    <w:lvl w:ilvl="4" w:tplc="F918AA28">
      <w:start w:val="1"/>
      <w:numFmt w:val="bullet"/>
      <w:lvlText w:val="o"/>
      <w:lvlJc w:val="left"/>
      <w:pPr>
        <w:tabs>
          <w:tab w:val="num" w:pos="0"/>
        </w:tabs>
        <w:ind w:left="3600" w:hanging="360"/>
      </w:pPr>
      <w:rPr>
        <w:rFonts w:ascii="Courier New" w:hAnsi="Courier New" w:cs="Courier New" w:hint="default"/>
      </w:rPr>
    </w:lvl>
    <w:lvl w:ilvl="5" w:tplc="6EB22D1E">
      <w:start w:val="1"/>
      <w:numFmt w:val="bullet"/>
      <w:lvlText w:val=""/>
      <w:lvlJc w:val="left"/>
      <w:pPr>
        <w:tabs>
          <w:tab w:val="num" w:pos="0"/>
        </w:tabs>
        <w:ind w:left="4320" w:hanging="360"/>
      </w:pPr>
      <w:rPr>
        <w:rFonts w:ascii="Wingdings" w:hAnsi="Wingdings" w:cs="Wingdings" w:hint="default"/>
      </w:rPr>
    </w:lvl>
    <w:lvl w:ilvl="6" w:tplc="63DC83C2">
      <w:start w:val="1"/>
      <w:numFmt w:val="bullet"/>
      <w:lvlText w:val=""/>
      <w:lvlJc w:val="left"/>
      <w:pPr>
        <w:tabs>
          <w:tab w:val="num" w:pos="0"/>
        </w:tabs>
        <w:ind w:left="5040" w:hanging="360"/>
      </w:pPr>
      <w:rPr>
        <w:rFonts w:ascii="Symbol" w:hAnsi="Symbol" w:cs="Symbol" w:hint="default"/>
      </w:rPr>
    </w:lvl>
    <w:lvl w:ilvl="7" w:tplc="2F9CBE5A">
      <w:start w:val="1"/>
      <w:numFmt w:val="bullet"/>
      <w:lvlText w:val="o"/>
      <w:lvlJc w:val="left"/>
      <w:pPr>
        <w:tabs>
          <w:tab w:val="num" w:pos="0"/>
        </w:tabs>
        <w:ind w:left="5760" w:hanging="360"/>
      </w:pPr>
      <w:rPr>
        <w:rFonts w:ascii="Courier New" w:hAnsi="Courier New" w:cs="Courier New" w:hint="default"/>
      </w:rPr>
    </w:lvl>
    <w:lvl w:ilvl="8" w:tplc="09A666B6">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76613158"/>
    <w:multiLevelType w:val="hybridMultilevel"/>
    <w:tmpl w:val="74F8EB9E"/>
    <w:lvl w:ilvl="0" w:tplc="A880A3A0">
      <w:start w:val="1"/>
      <w:numFmt w:val="bullet"/>
      <w:lvlText w:val=""/>
      <w:lvlJc w:val="left"/>
      <w:pPr>
        <w:tabs>
          <w:tab w:val="num" w:pos="0"/>
        </w:tabs>
        <w:ind w:left="0" w:firstLine="0"/>
      </w:pPr>
      <w:rPr>
        <w:rFonts w:ascii="Symbol" w:hAnsi="Symbol" w:cs="Symbol" w:hint="default"/>
        <w:sz w:val="24"/>
        <w:szCs w:val="24"/>
      </w:rPr>
    </w:lvl>
    <w:lvl w:ilvl="1" w:tplc="B6463CE6">
      <w:start w:val="1"/>
      <w:numFmt w:val="bullet"/>
      <w:lvlText w:val="o"/>
      <w:lvlJc w:val="left"/>
      <w:pPr>
        <w:tabs>
          <w:tab w:val="num" w:pos="0"/>
        </w:tabs>
        <w:ind w:left="0" w:firstLine="0"/>
      </w:pPr>
      <w:rPr>
        <w:rFonts w:ascii="Courier New" w:hAnsi="Courier New" w:cs="Courier New" w:hint="default"/>
        <w:sz w:val="24"/>
        <w:szCs w:val="24"/>
      </w:rPr>
    </w:lvl>
    <w:lvl w:ilvl="2" w:tplc="C2AE18F6">
      <w:start w:val="1"/>
      <w:numFmt w:val="bullet"/>
      <w:lvlText w:val="§"/>
      <w:lvlJc w:val="left"/>
      <w:pPr>
        <w:tabs>
          <w:tab w:val="num" w:pos="0"/>
        </w:tabs>
        <w:ind w:left="0" w:firstLine="0"/>
      </w:pPr>
      <w:rPr>
        <w:rFonts w:ascii="Times New Roman" w:hAnsi="Times New Roman" w:cs="Times New Roman" w:hint="default"/>
        <w:sz w:val="24"/>
        <w:szCs w:val="24"/>
      </w:rPr>
    </w:lvl>
    <w:lvl w:ilvl="3" w:tplc="130AA97A">
      <w:start w:val="1"/>
      <w:numFmt w:val="bullet"/>
      <w:lvlText w:val="·"/>
      <w:lvlJc w:val="left"/>
      <w:pPr>
        <w:tabs>
          <w:tab w:val="num" w:pos="0"/>
        </w:tabs>
        <w:ind w:left="0" w:firstLine="0"/>
      </w:pPr>
      <w:rPr>
        <w:rFonts w:ascii="Times New Roman" w:hAnsi="Times New Roman" w:cs="Times New Roman" w:hint="default"/>
        <w:sz w:val="24"/>
        <w:szCs w:val="24"/>
      </w:rPr>
    </w:lvl>
    <w:lvl w:ilvl="4" w:tplc="4B9AE2DE">
      <w:start w:val="1"/>
      <w:numFmt w:val="bullet"/>
      <w:lvlText w:val="o"/>
      <w:lvlJc w:val="left"/>
      <w:pPr>
        <w:tabs>
          <w:tab w:val="num" w:pos="0"/>
        </w:tabs>
        <w:ind w:left="0" w:firstLine="0"/>
      </w:pPr>
      <w:rPr>
        <w:rFonts w:ascii="Courier New" w:hAnsi="Courier New" w:cs="Courier New" w:hint="default"/>
        <w:sz w:val="24"/>
        <w:szCs w:val="24"/>
      </w:rPr>
    </w:lvl>
    <w:lvl w:ilvl="5" w:tplc="E6CE2918">
      <w:start w:val="1"/>
      <w:numFmt w:val="bullet"/>
      <w:lvlText w:val="§"/>
      <w:lvlJc w:val="left"/>
      <w:pPr>
        <w:tabs>
          <w:tab w:val="num" w:pos="0"/>
        </w:tabs>
        <w:ind w:left="0" w:firstLine="0"/>
      </w:pPr>
      <w:rPr>
        <w:rFonts w:ascii="Times New Roman" w:hAnsi="Times New Roman" w:cs="Times New Roman" w:hint="default"/>
        <w:sz w:val="24"/>
        <w:szCs w:val="24"/>
      </w:rPr>
    </w:lvl>
    <w:lvl w:ilvl="6" w:tplc="F4564CD0">
      <w:start w:val="1"/>
      <w:numFmt w:val="bullet"/>
      <w:lvlText w:val="·"/>
      <w:lvlJc w:val="left"/>
      <w:pPr>
        <w:tabs>
          <w:tab w:val="num" w:pos="0"/>
        </w:tabs>
        <w:ind w:left="0" w:firstLine="0"/>
      </w:pPr>
      <w:rPr>
        <w:rFonts w:ascii="Times New Roman" w:hAnsi="Times New Roman" w:cs="Times New Roman" w:hint="default"/>
        <w:sz w:val="24"/>
        <w:szCs w:val="24"/>
      </w:rPr>
    </w:lvl>
    <w:lvl w:ilvl="7" w:tplc="53487E48">
      <w:start w:val="1"/>
      <w:numFmt w:val="bullet"/>
      <w:lvlText w:val="o"/>
      <w:lvlJc w:val="left"/>
      <w:pPr>
        <w:tabs>
          <w:tab w:val="num" w:pos="0"/>
        </w:tabs>
        <w:ind w:left="0" w:firstLine="0"/>
      </w:pPr>
      <w:rPr>
        <w:rFonts w:ascii="Courier New" w:hAnsi="Courier New" w:cs="Courier New" w:hint="default"/>
        <w:sz w:val="24"/>
        <w:szCs w:val="24"/>
      </w:rPr>
    </w:lvl>
    <w:lvl w:ilvl="8" w:tplc="10DE59E8">
      <w:start w:val="1"/>
      <w:numFmt w:val="bullet"/>
      <w:lvlText w:val="§"/>
      <w:lvlJc w:val="left"/>
      <w:pPr>
        <w:tabs>
          <w:tab w:val="num" w:pos="0"/>
        </w:tabs>
        <w:ind w:left="0" w:firstLine="0"/>
      </w:pPr>
      <w:rPr>
        <w:rFonts w:ascii="Times New Roman" w:hAnsi="Times New Roman" w:cs="Times New Roman" w:hint="default"/>
        <w:sz w:val="24"/>
        <w:szCs w:val="24"/>
      </w:rPr>
    </w:lvl>
  </w:abstractNum>
  <w:abstractNum w:abstractNumId="33" w15:restartNumberingAfterBreak="0">
    <w:nsid w:val="76B42229"/>
    <w:multiLevelType w:val="hybridMultilevel"/>
    <w:tmpl w:val="835AAED0"/>
    <w:lvl w:ilvl="0" w:tplc="E3C46504">
      <w:start w:val="1"/>
      <w:numFmt w:val="decimal"/>
      <w:lvlText w:val="%1."/>
      <w:lvlJc w:val="left"/>
      <w:pPr>
        <w:ind w:left="720" w:hanging="360"/>
      </w:pPr>
    </w:lvl>
    <w:lvl w:ilvl="1" w:tplc="DC5E84AC">
      <w:start w:val="1"/>
      <w:numFmt w:val="lowerLetter"/>
      <w:lvlText w:val="%2."/>
      <w:lvlJc w:val="left"/>
      <w:pPr>
        <w:ind w:left="1440" w:hanging="360"/>
      </w:pPr>
    </w:lvl>
    <w:lvl w:ilvl="2" w:tplc="3D0C6B4C">
      <w:start w:val="1"/>
      <w:numFmt w:val="lowerRoman"/>
      <w:lvlText w:val="%3."/>
      <w:lvlJc w:val="right"/>
      <w:pPr>
        <w:ind w:left="2160" w:hanging="180"/>
      </w:pPr>
    </w:lvl>
    <w:lvl w:ilvl="3" w:tplc="E116A172">
      <w:start w:val="1"/>
      <w:numFmt w:val="decimal"/>
      <w:lvlText w:val="%4."/>
      <w:lvlJc w:val="left"/>
      <w:pPr>
        <w:ind w:left="2880" w:hanging="360"/>
      </w:pPr>
    </w:lvl>
    <w:lvl w:ilvl="4" w:tplc="304E8450">
      <w:start w:val="1"/>
      <w:numFmt w:val="lowerLetter"/>
      <w:lvlText w:val="%5."/>
      <w:lvlJc w:val="left"/>
      <w:pPr>
        <w:ind w:left="3600" w:hanging="360"/>
      </w:pPr>
    </w:lvl>
    <w:lvl w:ilvl="5" w:tplc="5F66495E">
      <w:start w:val="1"/>
      <w:numFmt w:val="lowerRoman"/>
      <w:lvlText w:val="%6."/>
      <w:lvlJc w:val="right"/>
      <w:pPr>
        <w:ind w:left="4320" w:hanging="180"/>
      </w:pPr>
    </w:lvl>
    <w:lvl w:ilvl="6" w:tplc="218A1992">
      <w:start w:val="1"/>
      <w:numFmt w:val="decimal"/>
      <w:lvlText w:val="%7."/>
      <w:lvlJc w:val="left"/>
      <w:pPr>
        <w:ind w:left="5040" w:hanging="360"/>
      </w:pPr>
    </w:lvl>
    <w:lvl w:ilvl="7" w:tplc="68DEA04C">
      <w:start w:val="1"/>
      <w:numFmt w:val="lowerLetter"/>
      <w:lvlText w:val="%8."/>
      <w:lvlJc w:val="left"/>
      <w:pPr>
        <w:ind w:left="5760" w:hanging="360"/>
      </w:pPr>
    </w:lvl>
    <w:lvl w:ilvl="8" w:tplc="343664AC">
      <w:start w:val="1"/>
      <w:numFmt w:val="lowerRoman"/>
      <w:lvlText w:val="%9."/>
      <w:lvlJc w:val="right"/>
      <w:pPr>
        <w:ind w:left="6480" w:hanging="180"/>
      </w:pPr>
    </w:lvl>
  </w:abstractNum>
  <w:abstractNum w:abstractNumId="34" w15:restartNumberingAfterBreak="0">
    <w:nsid w:val="76CB2331"/>
    <w:multiLevelType w:val="hybridMultilevel"/>
    <w:tmpl w:val="8D92C24C"/>
    <w:lvl w:ilvl="0" w:tplc="8E420F04">
      <w:start w:val="1"/>
      <w:numFmt w:val="decimal"/>
      <w:lvlText w:val="%1."/>
      <w:lvlJc w:val="left"/>
      <w:pPr>
        <w:ind w:left="502" w:hanging="360"/>
      </w:pPr>
    </w:lvl>
    <w:lvl w:ilvl="1" w:tplc="56DA7E20">
      <w:start w:val="1"/>
      <w:numFmt w:val="lowerLetter"/>
      <w:lvlText w:val="%2."/>
      <w:lvlJc w:val="left"/>
      <w:pPr>
        <w:ind w:left="1222" w:hanging="360"/>
      </w:pPr>
    </w:lvl>
    <w:lvl w:ilvl="2" w:tplc="0876D882">
      <w:start w:val="1"/>
      <w:numFmt w:val="lowerRoman"/>
      <w:lvlText w:val="%3."/>
      <w:lvlJc w:val="right"/>
      <w:pPr>
        <w:ind w:left="1942" w:hanging="180"/>
      </w:pPr>
    </w:lvl>
    <w:lvl w:ilvl="3" w:tplc="7680B25A">
      <w:start w:val="1"/>
      <w:numFmt w:val="decimal"/>
      <w:lvlText w:val="%4."/>
      <w:lvlJc w:val="left"/>
      <w:pPr>
        <w:ind w:left="2662" w:hanging="360"/>
      </w:pPr>
    </w:lvl>
    <w:lvl w:ilvl="4" w:tplc="93D60DCA">
      <w:start w:val="1"/>
      <w:numFmt w:val="lowerLetter"/>
      <w:lvlText w:val="%5."/>
      <w:lvlJc w:val="left"/>
      <w:pPr>
        <w:ind w:left="3382" w:hanging="360"/>
      </w:pPr>
    </w:lvl>
    <w:lvl w:ilvl="5" w:tplc="7E82D194">
      <w:start w:val="1"/>
      <w:numFmt w:val="lowerRoman"/>
      <w:lvlText w:val="%6."/>
      <w:lvlJc w:val="right"/>
      <w:pPr>
        <w:ind w:left="4102" w:hanging="180"/>
      </w:pPr>
    </w:lvl>
    <w:lvl w:ilvl="6" w:tplc="CF9881F4">
      <w:start w:val="1"/>
      <w:numFmt w:val="decimal"/>
      <w:lvlText w:val="%7."/>
      <w:lvlJc w:val="left"/>
      <w:pPr>
        <w:ind w:left="4822" w:hanging="360"/>
      </w:pPr>
    </w:lvl>
    <w:lvl w:ilvl="7" w:tplc="F2DC9736">
      <w:start w:val="1"/>
      <w:numFmt w:val="lowerLetter"/>
      <w:lvlText w:val="%8."/>
      <w:lvlJc w:val="left"/>
      <w:pPr>
        <w:ind w:left="5542" w:hanging="360"/>
      </w:pPr>
    </w:lvl>
    <w:lvl w:ilvl="8" w:tplc="734A727C">
      <w:start w:val="1"/>
      <w:numFmt w:val="lowerRoman"/>
      <w:lvlText w:val="%9."/>
      <w:lvlJc w:val="right"/>
      <w:pPr>
        <w:ind w:left="6262" w:hanging="180"/>
      </w:pPr>
    </w:lvl>
  </w:abstractNum>
  <w:abstractNum w:abstractNumId="35" w15:restartNumberingAfterBreak="0">
    <w:nsid w:val="7A0B4395"/>
    <w:multiLevelType w:val="hybridMultilevel"/>
    <w:tmpl w:val="F1EED414"/>
    <w:lvl w:ilvl="0" w:tplc="B74C595E">
      <w:start w:val="1"/>
      <w:numFmt w:val="bullet"/>
      <w:lvlText w:val=""/>
      <w:lvlJc w:val="left"/>
      <w:rPr>
        <w:rFonts w:ascii="Symbol" w:hAnsi="Symbol"/>
        <w:color w:val="000000"/>
        <w:sz w:val="24"/>
        <w:szCs w:val="24"/>
      </w:rPr>
    </w:lvl>
    <w:lvl w:ilvl="1" w:tplc="0122D46A">
      <w:start w:val="1"/>
      <w:numFmt w:val="bullet"/>
      <w:lvlText w:val="o"/>
      <w:lvlJc w:val="left"/>
      <w:rPr>
        <w:rFonts w:ascii="Courier New" w:hAnsi="Courier New" w:cs="Courier New"/>
        <w:sz w:val="24"/>
        <w:szCs w:val="24"/>
      </w:rPr>
    </w:lvl>
    <w:lvl w:ilvl="2" w:tplc="A6C2E244">
      <w:start w:val="1"/>
      <w:numFmt w:val="bullet"/>
      <w:lvlText w:val="§"/>
      <w:lvlJc w:val="left"/>
      <w:rPr>
        <w:rFonts w:ascii="Times New Roman" w:hAnsi="Times New Roman" w:cs="Times New Roman"/>
        <w:sz w:val="24"/>
        <w:szCs w:val="24"/>
      </w:rPr>
    </w:lvl>
    <w:lvl w:ilvl="3" w:tplc="DB4EF2D0">
      <w:start w:val="1"/>
      <w:numFmt w:val="bullet"/>
      <w:lvlText w:val="·"/>
      <w:lvlJc w:val="left"/>
      <w:rPr>
        <w:rFonts w:ascii="Times New Roman" w:hAnsi="Times New Roman" w:cs="Times New Roman"/>
        <w:sz w:val="24"/>
        <w:szCs w:val="24"/>
      </w:rPr>
    </w:lvl>
    <w:lvl w:ilvl="4" w:tplc="977AB07A">
      <w:start w:val="1"/>
      <w:numFmt w:val="bullet"/>
      <w:lvlText w:val="o"/>
      <w:lvlJc w:val="left"/>
      <w:rPr>
        <w:rFonts w:ascii="Courier New" w:hAnsi="Courier New" w:cs="Courier New"/>
        <w:sz w:val="24"/>
        <w:szCs w:val="24"/>
      </w:rPr>
    </w:lvl>
    <w:lvl w:ilvl="5" w:tplc="C284C156">
      <w:start w:val="1"/>
      <w:numFmt w:val="bullet"/>
      <w:lvlText w:val="§"/>
      <w:lvlJc w:val="left"/>
      <w:rPr>
        <w:rFonts w:ascii="Times New Roman" w:hAnsi="Times New Roman" w:cs="Times New Roman"/>
        <w:sz w:val="24"/>
        <w:szCs w:val="24"/>
      </w:rPr>
    </w:lvl>
    <w:lvl w:ilvl="6" w:tplc="8132D1EC">
      <w:start w:val="1"/>
      <w:numFmt w:val="bullet"/>
      <w:lvlText w:val="·"/>
      <w:lvlJc w:val="left"/>
      <w:rPr>
        <w:rFonts w:ascii="Times New Roman" w:hAnsi="Times New Roman" w:cs="Times New Roman"/>
        <w:sz w:val="24"/>
        <w:szCs w:val="24"/>
      </w:rPr>
    </w:lvl>
    <w:lvl w:ilvl="7" w:tplc="08CA9A82">
      <w:start w:val="1"/>
      <w:numFmt w:val="bullet"/>
      <w:lvlText w:val="o"/>
      <w:lvlJc w:val="left"/>
      <w:rPr>
        <w:rFonts w:ascii="Courier New" w:hAnsi="Courier New" w:cs="Courier New"/>
        <w:sz w:val="24"/>
        <w:szCs w:val="24"/>
      </w:rPr>
    </w:lvl>
    <w:lvl w:ilvl="8" w:tplc="DB4A48D6">
      <w:start w:val="1"/>
      <w:numFmt w:val="bullet"/>
      <w:lvlText w:val="§"/>
      <w:lvlJc w:val="left"/>
      <w:rPr>
        <w:rFonts w:ascii="Times New Roman" w:hAnsi="Times New Roman" w:cs="Times New Roman"/>
        <w:sz w:val="24"/>
        <w:szCs w:val="24"/>
      </w:rPr>
    </w:lvl>
  </w:abstractNum>
  <w:abstractNum w:abstractNumId="36" w15:restartNumberingAfterBreak="0">
    <w:nsid w:val="7AA431FD"/>
    <w:multiLevelType w:val="hybridMultilevel"/>
    <w:tmpl w:val="C62C3244"/>
    <w:lvl w:ilvl="0" w:tplc="C5CCC5BA">
      <w:start w:val="1"/>
      <w:numFmt w:val="bullet"/>
      <w:lvlText w:val=""/>
      <w:lvlJc w:val="left"/>
      <w:pPr>
        <w:ind w:left="920" w:hanging="360"/>
      </w:pPr>
      <w:rPr>
        <w:rFonts w:ascii="Symbol" w:hAnsi="Symbol"/>
      </w:rPr>
    </w:lvl>
    <w:lvl w:ilvl="1" w:tplc="F308320C">
      <w:start w:val="1"/>
      <w:numFmt w:val="bullet"/>
      <w:lvlText w:val="o"/>
      <w:lvlJc w:val="left"/>
      <w:pPr>
        <w:ind w:left="1640" w:hanging="360"/>
      </w:pPr>
      <w:rPr>
        <w:rFonts w:ascii="Courier New" w:hAnsi="Courier New" w:cs="Courier New"/>
      </w:rPr>
    </w:lvl>
    <w:lvl w:ilvl="2" w:tplc="6A8CE4CC">
      <w:start w:val="1"/>
      <w:numFmt w:val="bullet"/>
      <w:lvlText w:val=""/>
      <w:lvlJc w:val="left"/>
      <w:pPr>
        <w:ind w:left="2360" w:hanging="360"/>
      </w:pPr>
      <w:rPr>
        <w:rFonts w:ascii="Wingdings" w:hAnsi="Wingdings"/>
      </w:rPr>
    </w:lvl>
    <w:lvl w:ilvl="3" w:tplc="0FD02264">
      <w:start w:val="1"/>
      <w:numFmt w:val="bullet"/>
      <w:lvlText w:val=""/>
      <w:lvlJc w:val="left"/>
      <w:pPr>
        <w:ind w:left="3080" w:hanging="360"/>
      </w:pPr>
      <w:rPr>
        <w:rFonts w:ascii="Symbol" w:hAnsi="Symbol"/>
      </w:rPr>
    </w:lvl>
    <w:lvl w:ilvl="4" w:tplc="B78882F4">
      <w:start w:val="1"/>
      <w:numFmt w:val="bullet"/>
      <w:lvlText w:val="o"/>
      <w:lvlJc w:val="left"/>
      <w:pPr>
        <w:ind w:left="3800" w:hanging="360"/>
      </w:pPr>
      <w:rPr>
        <w:rFonts w:ascii="Courier New" w:hAnsi="Courier New" w:cs="Courier New"/>
      </w:rPr>
    </w:lvl>
    <w:lvl w:ilvl="5" w:tplc="585C3BE4">
      <w:start w:val="1"/>
      <w:numFmt w:val="bullet"/>
      <w:lvlText w:val=""/>
      <w:lvlJc w:val="left"/>
      <w:pPr>
        <w:ind w:left="4520" w:hanging="360"/>
      </w:pPr>
      <w:rPr>
        <w:rFonts w:ascii="Wingdings" w:hAnsi="Wingdings"/>
      </w:rPr>
    </w:lvl>
    <w:lvl w:ilvl="6" w:tplc="291A3416">
      <w:start w:val="1"/>
      <w:numFmt w:val="bullet"/>
      <w:lvlText w:val=""/>
      <w:lvlJc w:val="left"/>
      <w:pPr>
        <w:ind w:left="5240" w:hanging="360"/>
      </w:pPr>
      <w:rPr>
        <w:rFonts w:ascii="Symbol" w:hAnsi="Symbol"/>
      </w:rPr>
    </w:lvl>
    <w:lvl w:ilvl="7" w:tplc="A4D61A02">
      <w:start w:val="1"/>
      <w:numFmt w:val="bullet"/>
      <w:lvlText w:val="o"/>
      <w:lvlJc w:val="left"/>
      <w:pPr>
        <w:ind w:left="5960" w:hanging="360"/>
      </w:pPr>
      <w:rPr>
        <w:rFonts w:ascii="Courier New" w:hAnsi="Courier New" w:cs="Courier New"/>
      </w:rPr>
    </w:lvl>
    <w:lvl w:ilvl="8" w:tplc="114AC4FE">
      <w:start w:val="1"/>
      <w:numFmt w:val="bullet"/>
      <w:lvlText w:val=""/>
      <w:lvlJc w:val="left"/>
      <w:pPr>
        <w:ind w:left="6680" w:hanging="360"/>
      </w:pPr>
      <w:rPr>
        <w:rFonts w:ascii="Wingdings" w:hAnsi="Wingdings"/>
      </w:rPr>
    </w:lvl>
  </w:abstractNum>
  <w:abstractNum w:abstractNumId="37" w15:restartNumberingAfterBreak="0">
    <w:nsid w:val="7AAF53BA"/>
    <w:multiLevelType w:val="hybridMultilevel"/>
    <w:tmpl w:val="9716D0F4"/>
    <w:lvl w:ilvl="0" w:tplc="D362D38A">
      <w:start w:val="1"/>
      <w:numFmt w:val="bullet"/>
      <w:lvlText w:val=""/>
      <w:lvlJc w:val="left"/>
      <w:pPr>
        <w:ind w:left="862" w:hanging="360"/>
      </w:pPr>
      <w:rPr>
        <w:rFonts w:ascii="Symbol" w:hAnsi="Symbol"/>
        <w:color w:val="000000"/>
      </w:rPr>
    </w:lvl>
    <w:lvl w:ilvl="1" w:tplc="EA5C614A">
      <w:start w:val="1"/>
      <w:numFmt w:val="bullet"/>
      <w:lvlText w:val="o"/>
      <w:lvlJc w:val="left"/>
      <w:pPr>
        <w:ind w:left="1582" w:hanging="360"/>
      </w:pPr>
      <w:rPr>
        <w:rFonts w:ascii="Courier New" w:hAnsi="Courier New" w:cs="Courier New"/>
      </w:rPr>
    </w:lvl>
    <w:lvl w:ilvl="2" w:tplc="E912F51C">
      <w:start w:val="1"/>
      <w:numFmt w:val="bullet"/>
      <w:lvlText w:val=""/>
      <w:lvlJc w:val="left"/>
      <w:pPr>
        <w:ind w:left="2302" w:hanging="360"/>
      </w:pPr>
      <w:rPr>
        <w:rFonts w:ascii="Wingdings" w:hAnsi="Wingdings"/>
      </w:rPr>
    </w:lvl>
    <w:lvl w:ilvl="3" w:tplc="C50A9A84">
      <w:start w:val="1"/>
      <w:numFmt w:val="bullet"/>
      <w:lvlText w:val=""/>
      <w:lvlJc w:val="left"/>
      <w:pPr>
        <w:ind w:left="3022" w:hanging="360"/>
      </w:pPr>
      <w:rPr>
        <w:rFonts w:ascii="Symbol" w:hAnsi="Symbol"/>
      </w:rPr>
    </w:lvl>
    <w:lvl w:ilvl="4" w:tplc="24CAD0E6">
      <w:start w:val="1"/>
      <w:numFmt w:val="bullet"/>
      <w:lvlText w:val="o"/>
      <w:lvlJc w:val="left"/>
      <w:pPr>
        <w:ind w:left="3742" w:hanging="360"/>
      </w:pPr>
      <w:rPr>
        <w:rFonts w:ascii="Courier New" w:hAnsi="Courier New" w:cs="Courier New"/>
      </w:rPr>
    </w:lvl>
    <w:lvl w:ilvl="5" w:tplc="A138801C">
      <w:start w:val="1"/>
      <w:numFmt w:val="bullet"/>
      <w:lvlText w:val=""/>
      <w:lvlJc w:val="left"/>
      <w:pPr>
        <w:ind w:left="4462" w:hanging="360"/>
      </w:pPr>
      <w:rPr>
        <w:rFonts w:ascii="Wingdings" w:hAnsi="Wingdings"/>
      </w:rPr>
    </w:lvl>
    <w:lvl w:ilvl="6" w:tplc="1264099E">
      <w:start w:val="1"/>
      <w:numFmt w:val="bullet"/>
      <w:lvlText w:val=""/>
      <w:lvlJc w:val="left"/>
      <w:pPr>
        <w:ind w:left="5182" w:hanging="360"/>
      </w:pPr>
      <w:rPr>
        <w:rFonts w:ascii="Symbol" w:hAnsi="Symbol"/>
      </w:rPr>
    </w:lvl>
    <w:lvl w:ilvl="7" w:tplc="34D418CA">
      <w:start w:val="1"/>
      <w:numFmt w:val="bullet"/>
      <w:lvlText w:val="o"/>
      <w:lvlJc w:val="left"/>
      <w:pPr>
        <w:ind w:left="5902" w:hanging="360"/>
      </w:pPr>
      <w:rPr>
        <w:rFonts w:ascii="Courier New" w:hAnsi="Courier New" w:cs="Courier New"/>
      </w:rPr>
    </w:lvl>
    <w:lvl w:ilvl="8" w:tplc="5F329D74">
      <w:start w:val="1"/>
      <w:numFmt w:val="bullet"/>
      <w:lvlText w:val=""/>
      <w:lvlJc w:val="left"/>
      <w:pPr>
        <w:ind w:left="6622" w:hanging="360"/>
      </w:pPr>
      <w:rPr>
        <w:rFonts w:ascii="Wingdings" w:hAnsi="Wingdings"/>
      </w:rPr>
    </w:lvl>
  </w:abstractNum>
  <w:num w:numId="1">
    <w:abstractNumId w:val="27"/>
  </w:num>
  <w:num w:numId="2">
    <w:abstractNumId w:val="20"/>
  </w:num>
  <w:num w:numId="3">
    <w:abstractNumId w:val="28"/>
  </w:num>
  <w:num w:numId="4">
    <w:abstractNumId w:val="1"/>
  </w:num>
  <w:num w:numId="5">
    <w:abstractNumId w:val="36"/>
  </w:num>
  <w:num w:numId="6">
    <w:abstractNumId w:val="7"/>
  </w:num>
  <w:num w:numId="7">
    <w:abstractNumId w:val="35"/>
  </w:num>
  <w:num w:numId="8">
    <w:abstractNumId w:val="19"/>
  </w:num>
  <w:num w:numId="9">
    <w:abstractNumId w:val="25"/>
  </w:num>
  <w:num w:numId="10">
    <w:abstractNumId w:val="17"/>
  </w:num>
  <w:num w:numId="11">
    <w:abstractNumId w:val="26"/>
  </w:num>
  <w:num w:numId="12">
    <w:abstractNumId w:val="11"/>
  </w:num>
  <w:num w:numId="13">
    <w:abstractNumId w:val="5"/>
  </w:num>
  <w:num w:numId="14">
    <w:abstractNumId w:val="23"/>
  </w:num>
  <w:num w:numId="15">
    <w:abstractNumId w:val="3"/>
  </w:num>
  <w:num w:numId="16">
    <w:abstractNumId w:val="13"/>
  </w:num>
  <w:num w:numId="17">
    <w:abstractNumId w:val="22"/>
  </w:num>
  <w:num w:numId="18">
    <w:abstractNumId w:val="9"/>
  </w:num>
  <w:num w:numId="19">
    <w:abstractNumId w:val="14"/>
  </w:num>
  <w:num w:numId="20">
    <w:abstractNumId w:val="37"/>
  </w:num>
  <w:num w:numId="21">
    <w:abstractNumId w:val="2"/>
  </w:num>
  <w:num w:numId="22">
    <w:abstractNumId w:val="33"/>
  </w:num>
  <w:num w:numId="23">
    <w:abstractNumId w:val="15"/>
  </w:num>
  <w:num w:numId="24">
    <w:abstractNumId w:val="18"/>
  </w:num>
  <w:num w:numId="25">
    <w:abstractNumId w:val="16"/>
  </w:num>
  <w:num w:numId="26">
    <w:abstractNumId w:val="30"/>
  </w:num>
  <w:num w:numId="27">
    <w:abstractNumId w:val="34"/>
  </w:num>
  <w:num w:numId="28">
    <w:abstractNumId w:val="24"/>
  </w:num>
  <w:num w:numId="29">
    <w:abstractNumId w:val="29"/>
  </w:num>
  <w:num w:numId="30">
    <w:abstractNumId w:val="31"/>
  </w:num>
  <w:num w:numId="31">
    <w:abstractNumId w:val="0"/>
  </w:num>
  <w:num w:numId="32">
    <w:abstractNumId w:val="6"/>
  </w:num>
  <w:num w:numId="33">
    <w:abstractNumId w:val="32"/>
  </w:num>
  <w:num w:numId="34">
    <w:abstractNumId w:val="12"/>
  </w:num>
  <w:num w:numId="35">
    <w:abstractNumId w:val="8"/>
  </w:num>
  <w:num w:numId="36">
    <w:abstractNumId w:val="10"/>
  </w:num>
  <w:num w:numId="37">
    <w:abstractNumId w:val="4"/>
  </w:num>
  <w:num w:numId="3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footnotePr>
    <w:footnote w:id="-1"/>
    <w:footnote w:id="0"/>
  </w:footnotePr>
  <w:endnotePr>
    <w:endnote w:id="-1"/>
    <w:endnote w:id="0"/>
  </w:endnotePr>
  <w:compat>
    <w:balanceSingleByteDoubleByteWidth/>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2ECF"/>
    <w:rsid w:val="0002759C"/>
    <w:rsid w:val="000C3A8C"/>
    <w:rsid w:val="001411AB"/>
    <w:rsid w:val="00145C54"/>
    <w:rsid w:val="00207E8F"/>
    <w:rsid w:val="002171FC"/>
    <w:rsid w:val="002709BD"/>
    <w:rsid w:val="00292DD4"/>
    <w:rsid w:val="002C1435"/>
    <w:rsid w:val="002E76F3"/>
    <w:rsid w:val="00337787"/>
    <w:rsid w:val="0036497D"/>
    <w:rsid w:val="0040571D"/>
    <w:rsid w:val="004609C3"/>
    <w:rsid w:val="00471E88"/>
    <w:rsid w:val="004C0A94"/>
    <w:rsid w:val="004C7E82"/>
    <w:rsid w:val="00530C9B"/>
    <w:rsid w:val="00531E25"/>
    <w:rsid w:val="005333EF"/>
    <w:rsid w:val="00562B4F"/>
    <w:rsid w:val="005A35F2"/>
    <w:rsid w:val="005F1E46"/>
    <w:rsid w:val="006104A2"/>
    <w:rsid w:val="00623AB6"/>
    <w:rsid w:val="00674988"/>
    <w:rsid w:val="00675AC8"/>
    <w:rsid w:val="00687923"/>
    <w:rsid w:val="00697FEB"/>
    <w:rsid w:val="00747179"/>
    <w:rsid w:val="00790C6F"/>
    <w:rsid w:val="00904CA3"/>
    <w:rsid w:val="00957808"/>
    <w:rsid w:val="0097023A"/>
    <w:rsid w:val="009A12A1"/>
    <w:rsid w:val="009E6B44"/>
    <w:rsid w:val="009F30C3"/>
    <w:rsid w:val="009F633F"/>
    <w:rsid w:val="009F77A2"/>
    <w:rsid w:val="00A02ECF"/>
    <w:rsid w:val="00A103EF"/>
    <w:rsid w:val="00A21ED4"/>
    <w:rsid w:val="00B10A78"/>
    <w:rsid w:val="00B40270"/>
    <w:rsid w:val="00BE0F34"/>
    <w:rsid w:val="00C02472"/>
    <w:rsid w:val="00C46822"/>
    <w:rsid w:val="00C63069"/>
    <w:rsid w:val="00C67E7F"/>
    <w:rsid w:val="00C741EC"/>
    <w:rsid w:val="00C8355D"/>
    <w:rsid w:val="00CD27DD"/>
    <w:rsid w:val="00CF4849"/>
    <w:rsid w:val="00D23D20"/>
    <w:rsid w:val="00D36771"/>
    <w:rsid w:val="00D613EE"/>
    <w:rsid w:val="00DE3937"/>
    <w:rsid w:val="00E110FD"/>
    <w:rsid w:val="00E64C88"/>
    <w:rsid w:val="00E70217"/>
    <w:rsid w:val="00EB6824"/>
    <w:rsid w:val="00EE2A2E"/>
    <w:rsid w:val="00EF117C"/>
    <w:rsid w:val="00F1360E"/>
    <w:rsid w:val="00F55F1F"/>
    <w:rsid w:val="00FA444A"/>
    <w:rsid w:val="00FD17D8"/>
    <w:rsid w:val="00FE39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7CDD1A5-5BD3-47B9-978E-348E0E24D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before="20" w:after="40"/>
    </w:pPr>
  </w:style>
  <w:style w:type="paragraph" w:styleId="1">
    <w:name w:val="heading 1"/>
    <w:basedOn w:val="a"/>
    <w:next w:val="a"/>
    <w:link w:val="10"/>
    <w:uiPriority w:val="99"/>
    <w:qFormat/>
    <w:pPr>
      <w:spacing w:before="360" w:after="120"/>
      <w:jc w:val="center"/>
      <w:outlineLvl w:val="0"/>
    </w:pPr>
    <w:rPr>
      <w:b/>
      <w:bCs/>
      <w:sz w:val="28"/>
      <w:szCs w:val="28"/>
    </w:rPr>
  </w:style>
  <w:style w:type="paragraph" w:styleId="2">
    <w:name w:val="heading 2"/>
    <w:basedOn w:val="a"/>
    <w:next w:val="a"/>
    <w:link w:val="20"/>
    <w:uiPriority w:val="99"/>
    <w:qFormat/>
    <w:pPr>
      <w:spacing w:before="240"/>
      <w:outlineLvl w:val="1"/>
    </w:pPr>
    <w:rPr>
      <w:b/>
      <w:bCs/>
      <w:sz w:val="22"/>
      <w:szCs w:val="22"/>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CaptionChar">
    <w:name w:val="Caption Char"/>
    <w:uiPriority w:val="99"/>
  </w:style>
  <w:style w:type="character" w:customStyle="1" w:styleId="EndnoteTextChar">
    <w:name w:val="Endnote Text Char"/>
    <w:uiPriority w:val="99"/>
    <w:rPr>
      <w:sz w:val="20"/>
    </w:rPr>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30">
    <w:name w:val="Заголовок 3 Знак"/>
    <w:link w:val="3"/>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List Paragraph"/>
    <w:basedOn w:val="a"/>
    <w:link w:val="a4"/>
    <w:uiPriority w:val="34"/>
    <w:qFormat/>
    <w:pPr>
      <w:ind w:left="720"/>
      <w:contextualSpacing/>
    </w:pPr>
  </w:style>
  <w:style w:type="paragraph" w:styleId="a5">
    <w:name w:val="No Spacing"/>
    <w:uiPriority w:val="1"/>
    <w:qFormat/>
    <w:rPr>
      <w:lang w:eastAsia="zh-CN"/>
    </w:rPr>
  </w:style>
  <w:style w:type="paragraph" w:styleId="a6">
    <w:name w:val="Title"/>
    <w:basedOn w:val="a"/>
    <w:next w:val="a"/>
    <w:link w:val="a7"/>
    <w:uiPriority w:val="10"/>
    <w:qFormat/>
    <w:pPr>
      <w:spacing w:before="300" w:after="200"/>
      <w:contextualSpacing/>
    </w:pPr>
    <w:rPr>
      <w:sz w:val="48"/>
      <w:szCs w:val="48"/>
    </w:rPr>
  </w:style>
  <w:style w:type="character" w:customStyle="1" w:styleId="a7">
    <w:name w:val="Название Знак"/>
    <w:link w:val="a6"/>
    <w:uiPriority w:val="10"/>
    <w:rPr>
      <w:sz w:val="48"/>
      <w:szCs w:val="48"/>
    </w:rPr>
  </w:style>
  <w:style w:type="character" w:customStyle="1" w:styleId="a8">
    <w:name w:val="Подзаголовок Знак"/>
    <w:link w:val="a9"/>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a">
    <w:name w:val="Intense Quote"/>
    <w:basedOn w:val="a"/>
    <w:next w:val="a"/>
    <w:link w:val="ab"/>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b">
    <w:name w:val="Выделенная цитата Знак"/>
    <w:link w:val="aa"/>
    <w:uiPriority w:val="30"/>
    <w:rPr>
      <w:i/>
    </w:rPr>
  </w:style>
  <w:style w:type="paragraph" w:styleId="ac">
    <w:name w:val="header"/>
    <w:basedOn w:val="a"/>
    <w:link w:val="ad"/>
    <w:uiPriority w:val="99"/>
    <w:unhideWhenUsed/>
    <w:pPr>
      <w:tabs>
        <w:tab w:val="center" w:pos="4677"/>
        <w:tab w:val="right" w:pos="9355"/>
      </w:tabs>
    </w:pPr>
  </w:style>
  <w:style w:type="character" w:customStyle="1" w:styleId="HeaderChar">
    <w:name w:val="Header Char"/>
    <w:uiPriority w:val="99"/>
  </w:style>
  <w:style w:type="paragraph" w:styleId="ae">
    <w:name w:val="footer"/>
    <w:basedOn w:val="a"/>
    <w:link w:val="af"/>
    <w:uiPriority w:val="99"/>
    <w:unhideWhenUsed/>
    <w:pPr>
      <w:tabs>
        <w:tab w:val="center" w:pos="4677"/>
        <w:tab w:val="right" w:pos="9355"/>
      </w:tabs>
    </w:pPr>
  </w:style>
  <w:style w:type="character" w:customStyle="1" w:styleId="FooterChar">
    <w:name w:val="Footer Char"/>
    <w:uiPriority w:val="99"/>
  </w:style>
  <w:style w:type="paragraph" w:styleId="af0">
    <w:name w:val="caption"/>
    <w:basedOn w:val="a"/>
    <w:next w:val="a"/>
    <w:link w:val="af1"/>
    <w:uiPriority w:val="35"/>
    <w:semiHidden/>
    <w:unhideWhenUsed/>
    <w:qFormat/>
    <w:pPr>
      <w:spacing w:line="276" w:lineRule="auto"/>
    </w:pPr>
    <w:rPr>
      <w:b/>
      <w:bCs/>
      <w:color w:val="4F81BD"/>
      <w:sz w:val="18"/>
      <w:szCs w:val="18"/>
    </w:rPr>
  </w:style>
  <w:style w:type="character" w:customStyle="1" w:styleId="af1">
    <w:name w:val="Название объекта Знак"/>
    <w:link w:val="af0"/>
    <w:uiPriority w:val="35"/>
    <w:rPr>
      <w:b/>
      <w:bCs/>
      <w:color w:val="4F81BD"/>
      <w:sz w:val="18"/>
      <w:szCs w:val="18"/>
    </w:rPr>
  </w:style>
  <w:style w:type="table" w:styleId="af2">
    <w:name w:val="Table Grid"/>
    <w:basedOn w:val="a1"/>
    <w:uiPriority w:val="39"/>
    <w:tblPr/>
  </w:style>
  <w:style w:type="table" w:customStyle="1" w:styleId="TableGridLight">
    <w:name w:val="Table Grid Light"/>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11">
    <w:name w:val="Plain Table 1"/>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23">
    <w:name w:val="Plain Table 2"/>
    <w:uiPriority w:val="59"/>
    <w:rPr>
      <w:lang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styleId="31">
    <w:name w:val="Plain Table 3"/>
    <w:uiPriority w:val="99"/>
    <w:rPr>
      <w:lang w:eastAsia="zh-CN"/>
    </w:rPr>
    <w:tblPr>
      <w:tblStyleRowBandSize w:val="1"/>
      <w:tblStyleColBandSize w:val="1"/>
      <w:tblInd w:w="0" w:type="dxa"/>
      <w:tblCellMar>
        <w:top w:w="0" w:type="dxa"/>
        <w:left w:w="0" w:type="dxa"/>
        <w:bottom w:w="0" w:type="dxa"/>
        <w:right w:w="0" w:type="dxa"/>
      </w:tblCellMar>
    </w:tblPr>
  </w:style>
  <w:style w:type="table" w:styleId="41">
    <w:name w:val="Plain Table 4"/>
    <w:basedOn w:val="a1"/>
    <w:uiPriority w:val="99"/>
    <w:rPr>
      <w:rFonts w:ascii="Calibri" w:eastAsia="Calibri" w:hAnsi="Calibri"/>
      <w:sz w:val="22"/>
      <w:szCs w:val="22"/>
      <w:lang w:eastAsia="en-US"/>
    </w:rPr>
    <w:tblPr/>
  </w:style>
  <w:style w:type="table" w:styleId="51">
    <w:name w:val="Plain Table 5"/>
    <w:uiPriority w:val="99"/>
    <w:rPr>
      <w:lang w:eastAsia="zh-CN"/>
    </w:rPr>
    <w:tblPr>
      <w:tblStyleRowBandSize w:val="1"/>
      <w:tblStyleColBandSize w:val="1"/>
      <w:tblInd w:w="0" w:type="dxa"/>
      <w:tblCellMar>
        <w:top w:w="0" w:type="dxa"/>
        <w:left w:w="0" w:type="dxa"/>
        <w:bottom w:w="0" w:type="dxa"/>
        <w:right w:w="0" w:type="dxa"/>
      </w:tblCellMar>
    </w:tblPr>
  </w:style>
  <w:style w:type="table" w:styleId="-1">
    <w:name w:val="Grid Table 1 Light"/>
    <w:uiPriority w:val="99"/>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styleId="-2">
    <w:name w:val="Grid Table 2"/>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4">
    <w:name w:val="Grid Table 2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styleId="-3">
    <w:name w:val="Grid Table 3"/>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4">
    <w:name w:val="Grid Table 4"/>
    <w:uiPriority w:val="59"/>
    <w:rPr>
      <w:lang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5">
    <w:name w:val="Grid Table 5 Dark"/>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
    <w:name w:val="Grid Table 5 Dark- Accent 1"/>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
    <w:name w:val="Grid Table 5 Dark - Accent 2"/>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
    <w:name w:val="Grid Table 5 Dark - Accent 3"/>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
    <w:name w:val="Grid Table 5 Dark- Accent 4"/>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
    <w:name w:val="Grid Table 5 Dark - Accent 5"/>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
    <w:name w:val="Grid Table 5 Dark - Accent 6"/>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styleId="-6">
    <w:name w:val="Grid Table 6 Colorful"/>
    <w:uiPriority w:val="99"/>
    <w:rPr>
      <w:lang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Pr>
      <w:lang w:eastAsia="zh-C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Pr>
      <w:lang w:eastAsia="zh-C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Pr>
      <w:lang w:eastAsia="zh-C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Pr>
      <w:lang w:eastAsia="zh-C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7">
    <w:name w:val="Grid Table 7 Colorful"/>
    <w:uiPriority w:val="99"/>
    <w:rPr>
      <w:lang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Pr>
      <w:lang w:eastAsia="zh-C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Pr>
      <w:lang w:eastAsia="zh-C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Pr>
      <w:lang w:eastAsia="zh-C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Pr>
      <w:lang w:eastAsia="zh-C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Pr>
      <w:lang w:eastAsia="zh-C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Pr>
      <w:lang w:eastAsia="zh-C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10">
    <w:name w:val="List Table 1 Light"/>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rPr>
      <w:lang w:eastAsia="zh-CN"/>
    </w:rPr>
    <w:tblPr>
      <w:tblStyleRowBandSize w:val="1"/>
      <w:tblStyleColBandSize w:val="1"/>
      <w:tblInd w:w="0" w:type="dxa"/>
      <w:tblCellMar>
        <w:top w:w="0" w:type="dxa"/>
        <w:left w:w="0" w:type="dxa"/>
        <w:bottom w:w="0" w:type="dxa"/>
        <w:right w:w="0" w:type="dxa"/>
      </w:tblCellMar>
    </w:tblPr>
  </w:style>
  <w:style w:type="table" w:styleId="-20">
    <w:name w:val="List Table 2"/>
    <w:uiPriority w:val="99"/>
    <w:rPr>
      <w:lang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Pr>
      <w:lang w:eastAsia="zh-C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Pr>
      <w:lang w:eastAsia="zh-C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Pr>
      <w:lang w:eastAsia="zh-C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Pr>
      <w:lang w:eastAsia="zh-C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Pr>
      <w:lang w:eastAsia="zh-C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Pr>
      <w:lang w:eastAsia="zh-C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styleId="-30">
    <w:name w:val="List Table 3"/>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Pr>
      <w:lang w:eastAsia="zh-C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Pr>
      <w:lang w:eastAsia="zh-C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Pr>
      <w:lang w:eastAsia="zh-C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Pr>
      <w:lang w:eastAsia="zh-C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styleId="-40">
    <w:name w:val="List Table 4"/>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styleId="-50">
    <w:name w:val="List Table 5 Dark"/>
    <w:uiPriority w:val="99"/>
    <w:rPr>
      <w:lang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
    <w:name w:val="List Table 5 Dark - Accent 1"/>
    <w:uiPriority w:val="99"/>
    <w:rPr>
      <w:lang w:eastAsia="zh-C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
    <w:name w:val="List Table 5 Dark - Accent 2"/>
    <w:uiPriority w:val="99"/>
    <w:rPr>
      <w:lang w:eastAsia="zh-C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
    <w:name w:val="List Table 5 Dark - Accent 3"/>
    <w:uiPriority w:val="99"/>
    <w:rPr>
      <w:lang w:eastAsia="zh-C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
    <w:name w:val="List Table 5 Dark - Accent 4"/>
    <w:uiPriority w:val="99"/>
    <w:rPr>
      <w:lang w:eastAsia="zh-C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6">
    <w:name w:val="List Table 5 Dark - Accent 6"/>
    <w:uiPriority w:val="99"/>
    <w:rPr>
      <w:lang w:eastAsia="zh-C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styleId="-60">
    <w:name w:val="List Table 6 Colorful"/>
    <w:uiPriority w:val="99"/>
    <w:rPr>
      <w:lang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Pr>
      <w:lang w:eastAsia="zh-C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Pr>
      <w:lang w:eastAsia="zh-C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Pr>
      <w:lang w:eastAsia="zh-C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Pr>
      <w:lang w:eastAsia="zh-C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Pr>
      <w:lang w:eastAsia="zh-C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Pr>
      <w:lang w:eastAsia="zh-C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styleId="-70">
    <w:name w:val="List Table 7 Colorful"/>
    <w:uiPriority w:val="99"/>
    <w:rPr>
      <w:lang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Pr>
      <w:lang w:eastAsia="zh-C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Pr>
      <w:lang w:eastAsia="zh-C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Pr>
      <w:lang w:eastAsia="zh-C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Pr>
      <w:lang w:eastAsia="zh-C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Pr>
      <w:lang w:eastAsia="zh-C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Pr>
      <w:lang w:eastAsia="zh-C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Pr>
      <w:lang w:eastAsia="zh-C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styleId="af3">
    <w:name w:val="Hyperlink"/>
    <w:uiPriority w:val="99"/>
    <w:unhideWhenUsed/>
    <w:rPr>
      <w:rFonts w:cs="Times New Roman"/>
      <w:color w:val="0563C1"/>
      <w:u w:val="single"/>
    </w:rPr>
  </w:style>
  <w:style w:type="paragraph" w:styleId="af4">
    <w:name w:val="footnote text"/>
    <w:basedOn w:val="a"/>
    <w:link w:val="af5"/>
    <w:unhideWhenUsed/>
    <w:qFormat/>
  </w:style>
  <w:style w:type="character" w:customStyle="1" w:styleId="FootnoteTextChar">
    <w:name w:val="Footnote Text Char"/>
    <w:uiPriority w:val="99"/>
    <w:rPr>
      <w:sz w:val="18"/>
    </w:rPr>
  </w:style>
  <w:style w:type="character" w:styleId="af6">
    <w:name w:val="footnote reference"/>
    <w:link w:val="12"/>
    <w:uiPriority w:val="99"/>
    <w:unhideWhenUsed/>
    <w:qFormat/>
    <w:rPr>
      <w:rFonts w:cs="Times New Roman"/>
      <w:vertAlign w:val="superscript"/>
    </w:rPr>
  </w:style>
  <w:style w:type="paragraph" w:styleId="af7">
    <w:name w:val="endnote text"/>
    <w:basedOn w:val="a"/>
    <w:link w:val="af8"/>
    <w:uiPriority w:val="99"/>
    <w:semiHidden/>
    <w:unhideWhenUsed/>
    <w:pPr>
      <w:spacing w:after="0"/>
    </w:pPr>
  </w:style>
  <w:style w:type="character" w:customStyle="1" w:styleId="af8">
    <w:name w:val="Текст концевой сноски Знак"/>
    <w:link w:val="af7"/>
    <w:uiPriority w:val="99"/>
    <w:rPr>
      <w:sz w:val="20"/>
    </w:rPr>
  </w:style>
  <w:style w:type="character" w:styleId="af9">
    <w:name w:val="endnote reference"/>
    <w:uiPriority w:val="99"/>
    <w:semiHidden/>
    <w:unhideWhenUsed/>
    <w:rPr>
      <w:vertAlign w:val="superscript"/>
    </w:rPr>
  </w:style>
  <w:style w:type="paragraph" w:styleId="13">
    <w:name w:val="toc 1"/>
    <w:basedOn w:val="a"/>
    <w:next w:val="a"/>
    <w:uiPriority w:val="39"/>
    <w:unhideWhenUsed/>
  </w:style>
  <w:style w:type="paragraph" w:styleId="24">
    <w:name w:val="toc 2"/>
    <w:basedOn w:val="a"/>
    <w:next w:val="a"/>
    <w:uiPriority w:val="39"/>
    <w:unhideWhenUsed/>
    <w:pPr>
      <w:ind w:left="200"/>
    </w:pPr>
  </w:style>
  <w:style w:type="paragraph" w:styleId="32">
    <w:name w:val="toc 3"/>
    <w:basedOn w:val="a"/>
    <w:next w:val="a"/>
    <w:uiPriority w:val="39"/>
    <w:unhideWhenUsed/>
    <w:pPr>
      <w:widowControl/>
      <w:spacing w:before="0" w:after="100" w:line="259" w:lineRule="auto"/>
      <w:ind w:left="440"/>
    </w:pPr>
    <w:rPr>
      <w:rFonts w:ascii="Calibri" w:hAnsi="Calibri"/>
      <w:sz w:val="22"/>
      <w:szCs w:val="22"/>
    </w:rPr>
  </w:style>
  <w:style w:type="paragraph" w:styleId="42">
    <w:name w:val="toc 4"/>
    <w:basedOn w:val="a"/>
    <w:next w:val="a"/>
    <w:uiPriority w:val="39"/>
    <w:unhideWhenUsed/>
    <w:pPr>
      <w:widowControl/>
      <w:spacing w:before="0" w:after="100" w:line="259" w:lineRule="auto"/>
      <w:ind w:left="660"/>
    </w:pPr>
    <w:rPr>
      <w:rFonts w:ascii="Calibri" w:hAnsi="Calibri"/>
      <w:sz w:val="22"/>
      <w:szCs w:val="22"/>
    </w:rPr>
  </w:style>
  <w:style w:type="paragraph" w:styleId="52">
    <w:name w:val="toc 5"/>
    <w:basedOn w:val="a"/>
    <w:next w:val="a"/>
    <w:uiPriority w:val="39"/>
    <w:unhideWhenUsed/>
    <w:pPr>
      <w:widowControl/>
      <w:spacing w:before="0" w:after="100" w:line="259" w:lineRule="auto"/>
      <w:ind w:left="880"/>
    </w:pPr>
    <w:rPr>
      <w:rFonts w:ascii="Calibri" w:hAnsi="Calibri"/>
      <w:sz w:val="22"/>
      <w:szCs w:val="22"/>
    </w:rPr>
  </w:style>
  <w:style w:type="paragraph" w:styleId="61">
    <w:name w:val="toc 6"/>
    <w:basedOn w:val="a"/>
    <w:next w:val="a"/>
    <w:uiPriority w:val="39"/>
    <w:unhideWhenUsed/>
    <w:pPr>
      <w:widowControl/>
      <w:spacing w:before="0" w:after="100" w:line="259" w:lineRule="auto"/>
      <w:ind w:left="1100"/>
    </w:pPr>
    <w:rPr>
      <w:rFonts w:ascii="Calibri" w:hAnsi="Calibri"/>
      <w:sz w:val="22"/>
      <w:szCs w:val="22"/>
    </w:rPr>
  </w:style>
  <w:style w:type="paragraph" w:styleId="71">
    <w:name w:val="toc 7"/>
    <w:basedOn w:val="a"/>
    <w:next w:val="a"/>
    <w:uiPriority w:val="39"/>
    <w:unhideWhenUsed/>
    <w:pPr>
      <w:widowControl/>
      <w:spacing w:before="0" w:after="100" w:line="259" w:lineRule="auto"/>
      <w:ind w:left="1320"/>
    </w:pPr>
    <w:rPr>
      <w:rFonts w:ascii="Calibri" w:hAnsi="Calibri"/>
      <w:sz w:val="22"/>
      <w:szCs w:val="22"/>
    </w:rPr>
  </w:style>
  <w:style w:type="paragraph" w:styleId="81">
    <w:name w:val="toc 8"/>
    <w:basedOn w:val="a"/>
    <w:next w:val="a"/>
    <w:uiPriority w:val="39"/>
    <w:unhideWhenUsed/>
    <w:pPr>
      <w:widowControl/>
      <w:spacing w:before="0" w:after="100" w:line="259" w:lineRule="auto"/>
      <w:ind w:left="1540"/>
    </w:pPr>
    <w:rPr>
      <w:rFonts w:ascii="Calibri" w:hAnsi="Calibri"/>
      <w:sz w:val="22"/>
      <w:szCs w:val="22"/>
    </w:rPr>
  </w:style>
  <w:style w:type="paragraph" w:styleId="91">
    <w:name w:val="toc 9"/>
    <w:basedOn w:val="a"/>
    <w:next w:val="a"/>
    <w:uiPriority w:val="39"/>
    <w:unhideWhenUsed/>
    <w:pPr>
      <w:widowControl/>
      <w:spacing w:before="0" w:after="100" w:line="259" w:lineRule="auto"/>
      <w:ind w:left="1760"/>
    </w:pPr>
    <w:rPr>
      <w:rFonts w:ascii="Calibri" w:hAnsi="Calibri"/>
      <w:sz w:val="22"/>
      <w:szCs w:val="22"/>
    </w:rPr>
  </w:style>
  <w:style w:type="paragraph" w:styleId="afa">
    <w:name w:val="TOC Heading"/>
    <w:uiPriority w:val="39"/>
    <w:unhideWhenUsed/>
    <w:rPr>
      <w:lang w:eastAsia="zh-CN"/>
    </w:rPr>
  </w:style>
  <w:style w:type="paragraph" w:styleId="afb">
    <w:name w:val="table of figures"/>
    <w:basedOn w:val="a"/>
    <w:next w:val="a"/>
    <w:uiPriority w:val="99"/>
    <w:unhideWhenUsed/>
    <w:pPr>
      <w:spacing w:after="0"/>
    </w:pPr>
  </w:style>
  <w:style w:type="character" w:customStyle="1" w:styleId="10">
    <w:name w:val="Заголовок 1 Знак"/>
    <w:link w:val="1"/>
    <w:uiPriority w:val="9"/>
    <w:rPr>
      <w:rFonts w:ascii="Calibri Light" w:eastAsia="Times New Roman" w:hAnsi="Calibri Light" w:cs="Times New Roman"/>
      <w:b/>
      <w:bCs/>
      <w:sz w:val="32"/>
      <w:szCs w:val="32"/>
    </w:rPr>
  </w:style>
  <w:style w:type="character" w:customStyle="1" w:styleId="20">
    <w:name w:val="Заголовок 2 Знак"/>
    <w:link w:val="2"/>
    <w:uiPriority w:val="9"/>
    <w:semiHidden/>
    <w:rPr>
      <w:rFonts w:ascii="Calibri Light" w:eastAsia="Times New Roman" w:hAnsi="Calibri Light" w:cs="Times New Roman"/>
      <w:b/>
      <w:bCs/>
      <w:i/>
      <w:iCs/>
      <w:sz w:val="28"/>
      <w:szCs w:val="28"/>
    </w:rPr>
  </w:style>
  <w:style w:type="paragraph" w:customStyle="1" w:styleId="SubHeading">
    <w:name w:val="Sub Heading"/>
    <w:qFormat/>
    <w:pPr>
      <w:widowControl w:val="0"/>
      <w:spacing w:before="240" w:after="40"/>
    </w:pPr>
  </w:style>
  <w:style w:type="paragraph" w:customStyle="1" w:styleId="14">
    <w:name w:val="Заголовок1"/>
    <w:basedOn w:val="a"/>
    <w:next w:val="a"/>
    <w:link w:val="afc"/>
    <w:uiPriority w:val="99"/>
    <w:qFormat/>
    <w:pPr>
      <w:spacing w:before="0" w:after="240"/>
      <w:jc w:val="center"/>
    </w:pPr>
    <w:rPr>
      <w:b/>
      <w:bCs/>
      <w:sz w:val="32"/>
      <w:szCs w:val="32"/>
    </w:rPr>
  </w:style>
  <w:style w:type="character" w:customStyle="1" w:styleId="afc">
    <w:name w:val="Заголовок Знак"/>
    <w:link w:val="14"/>
    <w:uiPriority w:val="10"/>
    <w:rPr>
      <w:rFonts w:ascii="Calibri Light" w:eastAsia="Times New Roman" w:hAnsi="Calibri Light" w:cs="Times New Roman"/>
      <w:b/>
      <w:bCs/>
      <w:sz w:val="32"/>
      <w:szCs w:val="32"/>
    </w:rPr>
  </w:style>
  <w:style w:type="paragraph" w:styleId="a9">
    <w:name w:val="Subtitle"/>
    <w:link w:val="a8"/>
    <w:uiPriority w:val="99"/>
    <w:pPr>
      <w:widowControl w:val="0"/>
      <w:spacing w:after="240"/>
      <w:jc w:val="center"/>
    </w:pPr>
    <w:rPr>
      <w:b/>
      <w:bCs/>
      <w:sz w:val="24"/>
      <w:szCs w:val="24"/>
    </w:rPr>
  </w:style>
  <w:style w:type="paragraph" w:customStyle="1" w:styleId="SubHeading1">
    <w:name w:val="Sub Heading1"/>
    <w:uiPriority w:val="99"/>
    <w:pPr>
      <w:widowControl w:val="0"/>
      <w:spacing w:before="80" w:after="20"/>
    </w:pPr>
  </w:style>
  <w:style w:type="paragraph" w:customStyle="1" w:styleId="Headingbalance">
    <w:name w:val="Heading_balance"/>
    <w:uiPriority w:val="99"/>
    <w:pPr>
      <w:widowControl w:val="0"/>
      <w:spacing w:before="120"/>
      <w:jc w:val="center"/>
    </w:pPr>
    <w:rPr>
      <w:b/>
      <w:bCs/>
    </w:rPr>
  </w:style>
  <w:style w:type="paragraph" w:customStyle="1" w:styleId="SpacedNormal">
    <w:name w:val="Spaced Normal"/>
    <w:uiPriority w:val="99"/>
    <w:pPr>
      <w:widowControl w:val="0"/>
      <w:spacing w:before="120" w:after="40"/>
    </w:pPr>
  </w:style>
  <w:style w:type="paragraph" w:customStyle="1" w:styleId="ThinDelim">
    <w:name w:val="Thin Delim"/>
    <w:qFormat/>
    <w:pPr>
      <w:widowControl w:val="0"/>
    </w:pPr>
    <w:rPr>
      <w:sz w:val="16"/>
      <w:szCs w:val="16"/>
    </w:rPr>
  </w:style>
  <w:style w:type="character" w:customStyle="1" w:styleId="Subst">
    <w:name w:val="Subst"/>
    <w:uiPriority w:val="99"/>
    <w:qFormat/>
    <w:rPr>
      <w:b/>
      <w:i/>
    </w:rPr>
  </w:style>
  <w:style w:type="character" w:customStyle="1" w:styleId="15">
    <w:name w:val="Гиперссылка1"/>
    <w:uiPriority w:val="99"/>
    <w:unhideWhenUsed/>
    <w:rPr>
      <w:rFonts w:cs="Times New Roman"/>
      <w:color w:val="0563C1"/>
      <w:u w:val="single"/>
    </w:rPr>
  </w:style>
  <w:style w:type="paragraph" w:customStyle="1" w:styleId="SubtleEmphasisListParagraph1BulletIRAOACList011head5113TITLE222">
    <w:name w:val="Абзац списка;Subtle Emphasis;Список ненумерованный;Нумерованый список;List Paragraph1;ПАРАГРАФ;Буллет;Bullet_IRAO;AC List 01;Слабое выделение1;head 5;Слабое выделение11;Заголовок_3;TITLE 2;Абзац списка2;ПЗ;Подраздел ПХД;Слабое выделение2"/>
    <w:basedOn w:val="a"/>
    <w:link w:val="SubtleEmphasisListParagraph1BulletIRAOACList011head5113"/>
    <w:uiPriority w:val="34"/>
    <w:qFormat/>
    <w:pPr>
      <w:widowControl/>
      <w:spacing w:before="0" w:after="200" w:line="276" w:lineRule="auto"/>
      <w:ind w:left="720"/>
      <w:contextualSpacing/>
    </w:pPr>
    <w:rPr>
      <w:rFonts w:ascii="Calibri" w:hAnsi="Calibri"/>
      <w:sz w:val="22"/>
      <w:szCs w:val="22"/>
      <w:lang w:val="en-US" w:eastAsia="en-US"/>
    </w:rPr>
  </w:style>
  <w:style w:type="character" w:styleId="afd">
    <w:name w:val="annotation reference"/>
    <w:uiPriority w:val="99"/>
    <w:unhideWhenUsed/>
    <w:rPr>
      <w:rFonts w:cs="Times New Roman"/>
      <w:sz w:val="16"/>
      <w:szCs w:val="16"/>
    </w:rPr>
  </w:style>
  <w:style w:type="paragraph" w:styleId="afe">
    <w:name w:val="annotation text"/>
    <w:basedOn w:val="a"/>
    <w:link w:val="aff"/>
    <w:uiPriority w:val="99"/>
    <w:unhideWhenUsed/>
    <w:qFormat/>
  </w:style>
  <w:style w:type="character" w:customStyle="1" w:styleId="aff">
    <w:name w:val="Текст примечания Знак"/>
    <w:link w:val="afe"/>
    <w:uiPriority w:val="99"/>
    <w:qFormat/>
    <w:rPr>
      <w:rFonts w:cs="Times New Roman"/>
      <w:sz w:val="20"/>
      <w:szCs w:val="20"/>
    </w:rPr>
  </w:style>
  <w:style w:type="paragraph" w:styleId="aff0">
    <w:name w:val="annotation subject"/>
    <w:basedOn w:val="afe"/>
    <w:next w:val="afe"/>
    <w:link w:val="aff1"/>
    <w:uiPriority w:val="99"/>
    <w:semiHidden/>
    <w:unhideWhenUsed/>
    <w:rPr>
      <w:b/>
      <w:bCs/>
    </w:rPr>
  </w:style>
  <w:style w:type="character" w:customStyle="1" w:styleId="aff1">
    <w:name w:val="Тема примечания Знак"/>
    <w:link w:val="aff0"/>
    <w:uiPriority w:val="99"/>
    <w:semiHidden/>
    <w:rPr>
      <w:rFonts w:cs="Times New Roman"/>
      <w:b/>
      <w:bCs/>
      <w:sz w:val="20"/>
      <w:szCs w:val="20"/>
    </w:rPr>
  </w:style>
  <w:style w:type="paragraph" w:styleId="aff2">
    <w:name w:val="Balloon Text"/>
    <w:basedOn w:val="a"/>
    <w:link w:val="aff3"/>
    <w:uiPriority w:val="99"/>
    <w:semiHidden/>
    <w:unhideWhenUsed/>
    <w:pPr>
      <w:spacing w:before="0" w:after="0"/>
    </w:pPr>
    <w:rPr>
      <w:rFonts w:ascii="Segoe UI" w:hAnsi="Segoe UI" w:cs="Segoe UI"/>
      <w:sz w:val="18"/>
      <w:szCs w:val="18"/>
    </w:rPr>
  </w:style>
  <w:style w:type="character" w:customStyle="1" w:styleId="aff3">
    <w:name w:val="Текст выноски Знак"/>
    <w:link w:val="aff2"/>
    <w:uiPriority w:val="99"/>
    <w:semiHidden/>
    <w:rPr>
      <w:rFonts w:ascii="Segoe UI" w:hAnsi="Segoe UI" w:cs="Segoe UI"/>
      <w:sz w:val="18"/>
      <w:szCs w:val="18"/>
    </w:rPr>
  </w:style>
  <w:style w:type="character" w:customStyle="1" w:styleId="af5">
    <w:name w:val="Текст сноски Знак"/>
    <w:link w:val="af4"/>
    <w:qFormat/>
    <w:rPr>
      <w:rFonts w:cs="Times New Roman"/>
      <w:sz w:val="20"/>
      <w:szCs w:val="20"/>
    </w:rPr>
  </w:style>
  <w:style w:type="character" w:customStyle="1" w:styleId="16">
    <w:name w:val="Неразрешенное упоминание1"/>
    <w:uiPriority w:val="99"/>
    <w:semiHidden/>
    <w:unhideWhenUsed/>
    <w:rPr>
      <w:rFonts w:cs="Times New Roman"/>
      <w:color w:val="605E5C"/>
      <w:shd w:val="clear" w:color="auto" w:fill="E1DFDD"/>
    </w:rPr>
  </w:style>
  <w:style w:type="table" w:customStyle="1" w:styleId="SmartTextTable1">
    <w:name w:val="Smart Text Table1"/>
    <w:basedOn w:val="a1"/>
    <w:next w:val="af2"/>
    <w:uiPriority w:val="39"/>
    <w:rPr>
      <w:rFonts w:ascii="Calibri" w:eastAsia="Calibri" w:hAnsi="Calibri"/>
      <w:sz w:val="22"/>
      <w:szCs w:val="22"/>
      <w:lang w:eastAsia="en-US"/>
    </w:rPr>
    <w:tblPr/>
  </w:style>
  <w:style w:type="paragraph" w:customStyle="1" w:styleId="ConsPlusNormal">
    <w:name w:val="ConsPlusNormal"/>
    <w:qFormat/>
    <w:pPr>
      <w:widowControl w:val="0"/>
      <w:spacing w:before="40" w:after="20"/>
      <w:ind w:left="198"/>
    </w:pPr>
    <w:rPr>
      <w:rFonts w:eastAsia="Arial"/>
      <w:sz w:val="24"/>
      <w:szCs w:val="24"/>
    </w:rPr>
  </w:style>
  <w:style w:type="table" w:customStyle="1" w:styleId="ListTable5Dark-Accent5">
    <w:name w:val="List Table 5 Dark - Accent 5"/>
    <w:basedOn w:val="a1"/>
    <w:uiPriority w:val="99"/>
    <w:rPr>
      <w:rFonts w:eastAsia="Calibri"/>
      <w:color w:val="0000FF"/>
      <w:szCs w:val="22"/>
      <w:u w:val="single"/>
      <w:lang w:eastAsia="en-US"/>
    </w:rPr>
    <w:tblPr/>
  </w:style>
  <w:style w:type="character" w:customStyle="1" w:styleId="SubtleEmphasisListParagraph1BulletIRAOACList011head5113">
    <w:name w:val="Абзац списка Знак;Subtle Emphasis Знак;Список ненумерованный Знак;Нумерованый список Знак;List Paragraph1 Знак;ПАРАГРАФ Знак;Буллет Знак;Bullet_IRAO Знак;AC List 01 Знак;Слабое выделение1 Знак;head 5 Знак;Слабое выделение11 Знак;Заголовок_3 Знак;ПЗ Знак"/>
    <w:link w:val="SubtleEmphasisListParagraph1BulletIRAOACList011head5113TITLE222"/>
    <w:uiPriority w:val="34"/>
    <w:qFormat/>
    <w:rPr>
      <w:rFonts w:ascii="Calibri" w:hAnsi="Calibri"/>
      <w:sz w:val="22"/>
      <w:szCs w:val="22"/>
      <w:lang w:val="en-US" w:eastAsia="en-US"/>
    </w:rPr>
  </w:style>
  <w:style w:type="paragraph" w:customStyle="1" w:styleId="Default">
    <w:name w:val="Default"/>
    <w:qFormat/>
    <w:pPr>
      <w:spacing w:before="40" w:after="20"/>
      <w:ind w:left="198"/>
    </w:pPr>
    <w:rPr>
      <w:rFonts w:eastAsia="Calibri"/>
      <w:color w:val="000000"/>
      <w:sz w:val="24"/>
      <w:szCs w:val="24"/>
      <w:lang w:eastAsia="en-US"/>
    </w:rPr>
  </w:style>
  <w:style w:type="paragraph" w:customStyle="1" w:styleId="aff4">
    <w:name w:val="Обыч"/>
    <w:link w:val="aff5"/>
    <w:uiPriority w:val="1"/>
    <w:qFormat/>
    <w:pPr>
      <w:spacing w:before="120" w:after="120"/>
      <w:ind w:left="198"/>
      <w:jc w:val="both"/>
    </w:pPr>
    <w:rPr>
      <w:rFonts w:eastAsia="Calibri"/>
      <w:szCs w:val="16"/>
      <w:lang w:val="en-GB"/>
    </w:rPr>
  </w:style>
  <w:style w:type="character" w:customStyle="1" w:styleId="aff5">
    <w:name w:val="Обыч Знак"/>
    <w:link w:val="aff4"/>
    <w:uiPriority w:val="1"/>
    <w:qFormat/>
    <w:rPr>
      <w:rFonts w:eastAsia="Calibri"/>
      <w:szCs w:val="16"/>
      <w:lang w:val="en-GB"/>
    </w:rPr>
  </w:style>
  <w:style w:type="paragraph" w:customStyle="1" w:styleId="aff6">
    <w:name w:val="Заголовок таблицы"/>
    <w:basedOn w:val="a"/>
    <w:link w:val="aff7"/>
    <w:qFormat/>
    <w:pPr>
      <w:widowControl/>
      <w:spacing w:before="60" w:after="60"/>
      <w:jc w:val="right"/>
    </w:pPr>
    <w:rPr>
      <w:rFonts w:eastAsia="Calibri"/>
      <w:b/>
      <w:sz w:val="24"/>
      <w:szCs w:val="24"/>
      <w:lang w:eastAsia="en-US"/>
    </w:rPr>
  </w:style>
  <w:style w:type="character" w:customStyle="1" w:styleId="aff7">
    <w:name w:val="Заголовок таблицы Знак"/>
    <w:link w:val="aff6"/>
    <w:rPr>
      <w:rFonts w:eastAsia="Calibri"/>
      <w:b/>
      <w:sz w:val="24"/>
      <w:szCs w:val="24"/>
      <w:lang w:eastAsia="en-US"/>
    </w:rPr>
  </w:style>
  <w:style w:type="paragraph" w:customStyle="1" w:styleId="aff8">
    <w:name w:val="ТаблЛевЖ"/>
    <w:basedOn w:val="a"/>
    <w:link w:val="aff9"/>
    <w:uiPriority w:val="6"/>
    <w:qFormat/>
    <w:pPr>
      <w:widowControl/>
      <w:spacing w:before="40" w:after="20"/>
      <w:jc w:val="both"/>
    </w:pPr>
    <w:rPr>
      <w:rFonts w:eastAsia="Calibri"/>
      <w:b/>
      <w:sz w:val="18"/>
      <w:szCs w:val="24"/>
      <w:lang w:val="en-US"/>
    </w:rPr>
  </w:style>
  <w:style w:type="character" w:customStyle="1" w:styleId="aff9">
    <w:name w:val="ТаблЛевЖ Знак"/>
    <w:link w:val="aff8"/>
    <w:uiPriority w:val="6"/>
    <w:rPr>
      <w:rFonts w:eastAsia="Calibri"/>
      <w:b/>
      <w:sz w:val="18"/>
      <w:szCs w:val="24"/>
      <w:lang w:val="en-US"/>
    </w:rPr>
  </w:style>
  <w:style w:type="paragraph" w:customStyle="1" w:styleId="pf0">
    <w:name w:val="pf0"/>
    <w:basedOn w:val="a"/>
    <w:pPr>
      <w:widowControl/>
      <w:spacing w:before="100" w:beforeAutospacing="1" w:after="100" w:afterAutospacing="1"/>
    </w:pPr>
    <w:rPr>
      <w:sz w:val="24"/>
      <w:szCs w:val="24"/>
    </w:rPr>
  </w:style>
  <w:style w:type="paragraph" w:customStyle="1" w:styleId="17">
    <w:name w:val="Обычный (Интернет)1"/>
    <w:basedOn w:val="a"/>
    <w:link w:val="affa"/>
    <w:uiPriority w:val="99"/>
    <w:unhideWhenUsed/>
    <w:pPr>
      <w:widowControl/>
      <w:spacing w:before="100" w:beforeAutospacing="1" w:after="100" w:afterAutospacing="1"/>
      <w:ind w:left="198"/>
    </w:pPr>
    <w:rPr>
      <w:sz w:val="24"/>
      <w:szCs w:val="24"/>
      <w:lang w:eastAsia="en-US"/>
    </w:rPr>
  </w:style>
  <w:style w:type="character" w:customStyle="1" w:styleId="affa">
    <w:name w:val="Обычный (Интернет) Знак"/>
    <w:link w:val="17"/>
    <w:uiPriority w:val="99"/>
    <w:qFormat/>
    <w:rPr>
      <w:sz w:val="24"/>
      <w:szCs w:val="24"/>
      <w:lang w:eastAsia="en-US"/>
    </w:rPr>
  </w:style>
  <w:style w:type="character" w:customStyle="1" w:styleId="ad">
    <w:name w:val="Верхний колонтитул Знак"/>
    <w:basedOn w:val="a0"/>
    <w:link w:val="ac"/>
    <w:uiPriority w:val="99"/>
  </w:style>
  <w:style w:type="character" w:customStyle="1" w:styleId="af">
    <w:name w:val="Нижний колонтитул Знак"/>
    <w:basedOn w:val="a0"/>
    <w:link w:val="ae"/>
    <w:uiPriority w:val="99"/>
  </w:style>
  <w:style w:type="character" w:customStyle="1" w:styleId="18">
    <w:name w:val="Текст примечания Знак1"/>
    <w:rPr>
      <w:rFonts w:ascii="Times New Roman" w:eastAsia="Times New Roman" w:hAnsi="Times New Roman" w:cs="Times New Roman"/>
      <w:sz w:val="20"/>
      <w:szCs w:val="20"/>
      <w:lang w:eastAsia="ru-RU"/>
    </w:rPr>
  </w:style>
  <w:style w:type="paragraph" w:customStyle="1" w:styleId="prilozhenie">
    <w:name w:val="prilozhenie"/>
    <w:basedOn w:val="a"/>
    <w:pPr>
      <w:widowControl/>
      <w:spacing w:before="0" w:after="0"/>
      <w:ind w:firstLine="709"/>
      <w:jc w:val="both"/>
    </w:pPr>
    <w:rPr>
      <w:sz w:val="24"/>
      <w:szCs w:val="24"/>
      <w:lang w:eastAsia="en-US"/>
    </w:rPr>
  </w:style>
  <w:style w:type="paragraph" w:styleId="affb">
    <w:name w:val="Body Text"/>
    <w:basedOn w:val="a"/>
    <w:link w:val="affc"/>
    <w:semiHidden/>
    <w:pPr>
      <w:widowControl/>
      <w:spacing w:before="0" w:after="0"/>
      <w:ind w:right="57"/>
      <w:jc w:val="both"/>
    </w:pPr>
    <w:rPr>
      <w:sz w:val="28"/>
    </w:rPr>
  </w:style>
  <w:style w:type="character" w:customStyle="1" w:styleId="affc">
    <w:name w:val="Основной текст Знак"/>
    <w:link w:val="affb"/>
    <w:semiHidden/>
    <w:rPr>
      <w:sz w:val="28"/>
    </w:rPr>
  </w:style>
  <w:style w:type="table" w:customStyle="1" w:styleId="GridTable2-Accent3">
    <w:name w:val="Grid Table 2 - Accent 3"/>
    <w:basedOn w:val="a1"/>
    <w:uiPriority w:val="99"/>
    <w:rPr>
      <w:rFonts w:ascii="Calibri" w:eastAsia="Calibri" w:hAnsi="Calibri"/>
      <w:sz w:val="22"/>
      <w:szCs w:val="22"/>
      <w:lang w:eastAsia="en-US"/>
    </w:rPr>
    <w:tblPr/>
  </w:style>
  <w:style w:type="character" w:customStyle="1" w:styleId="markedcontent">
    <w:name w:val="markedcontent"/>
    <w:basedOn w:val="a0"/>
  </w:style>
  <w:style w:type="paragraph" w:customStyle="1" w:styleId="110">
    <w:name w:val="Обычный (Интернет)11"/>
    <w:basedOn w:val="a"/>
    <w:uiPriority w:val="99"/>
    <w:unhideWhenUsed/>
    <w:qFormat/>
    <w:pPr>
      <w:widowControl/>
      <w:spacing w:before="100" w:beforeAutospacing="1" w:after="100" w:afterAutospacing="1"/>
      <w:ind w:left="198"/>
    </w:pPr>
    <w:rPr>
      <w:sz w:val="24"/>
      <w:szCs w:val="24"/>
      <w:lang w:eastAsia="en-US"/>
    </w:rPr>
  </w:style>
  <w:style w:type="paragraph" w:styleId="affd">
    <w:name w:val="Revision"/>
    <w:hidden/>
    <w:uiPriority w:val="99"/>
    <w:semiHidden/>
  </w:style>
  <w:style w:type="paragraph" w:styleId="affe">
    <w:name w:val="Body Text Indent"/>
    <w:basedOn w:val="a"/>
    <w:link w:val="afff"/>
    <w:uiPriority w:val="99"/>
    <w:semiHidden/>
    <w:unhideWhenUsed/>
    <w:pPr>
      <w:spacing w:after="120"/>
      <w:ind w:left="283"/>
    </w:pPr>
  </w:style>
  <w:style w:type="character" w:customStyle="1" w:styleId="afff">
    <w:name w:val="Основной текст с отступом Знак"/>
    <w:basedOn w:val="a0"/>
    <w:link w:val="affe"/>
    <w:uiPriority w:val="99"/>
    <w:semiHidden/>
  </w:style>
  <w:style w:type="paragraph" w:customStyle="1" w:styleId="SubtleEmphasisListParagraph1BulletIRAOACList011head5113TITLE2221">
    <w:name w:val="Абзац списка;Subtle Emphasis;Список ненумерованный;Нумерованый список;List Paragraph1;ПАРАГРАФ;Буллет;Bullet_IRAO;AC List 01;Слабое выделение1;head 5;Слабое выделение11;Заголовок_3;TITLE 2;Абзац списка2;ПЗ;Подраздел ПХД;Слабое выделение21"/>
    <w:basedOn w:val="a"/>
    <w:link w:val="SubtleEmphasisListParagraph1BulletIRAOACList011head51131"/>
    <w:uiPriority w:val="34"/>
    <w:qFormat/>
    <w:pPr>
      <w:widowControl/>
      <w:spacing w:before="0" w:after="200" w:line="276" w:lineRule="auto"/>
      <w:ind w:left="720"/>
      <w:contextualSpacing/>
    </w:pPr>
    <w:rPr>
      <w:rFonts w:ascii="Calibri" w:hAnsi="Calibri"/>
      <w:sz w:val="22"/>
      <w:szCs w:val="22"/>
      <w:lang w:val="en-US" w:eastAsia="en-US"/>
    </w:rPr>
  </w:style>
  <w:style w:type="character" w:customStyle="1" w:styleId="SubtleEmphasisListParagraph1BulletIRAOACList011head51131">
    <w:name w:val="Абзац списка Знак;Subtle Emphasis Знак;Список ненумерованный Знак;Нумерованый список Знак;List Paragraph1 Знак;ПАРАГРАФ Знак;Буллет Знак;Bullet_IRAO Знак;AC List 01 Знак;Слабое выделение1 Знак;head 5 Знак;Слабое выделение11 Знак;Заголовок_3 Знак;ПЗ Зна1"/>
    <w:link w:val="SubtleEmphasisListParagraph1BulletIRAOACList011head5113TITLE2221"/>
    <w:uiPriority w:val="34"/>
    <w:qFormat/>
    <w:rPr>
      <w:rFonts w:ascii="Calibri" w:hAnsi="Calibri"/>
      <w:sz w:val="22"/>
      <w:szCs w:val="22"/>
      <w:lang w:val="en-US" w:eastAsia="en-US"/>
    </w:rPr>
  </w:style>
  <w:style w:type="paragraph" w:customStyle="1" w:styleId="12">
    <w:name w:val="Знак сноски1"/>
    <w:basedOn w:val="a"/>
    <w:link w:val="af6"/>
    <w:uiPriority w:val="99"/>
    <w:pPr>
      <w:widowControl/>
      <w:spacing w:before="0" w:after="200" w:line="276" w:lineRule="auto"/>
    </w:pPr>
    <w:rPr>
      <w:vertAlign w:val="superscript"/>
    </w:rPr>
  </w:style>
  <w:style w:type="table" w:customStyle="1" w:styleId="GridTable2-Accent6">
    <w:name w:val="Grid Table 2 - Accent 6"/>
    <w:basedOn w:val="a1"/>
    <w:uiPriority w:val="99"/>
    <w:rPr>
      <w:rFonts w:ascii="Calibri" w:eastAsia="Calibri" w:hAnsi="Calibri"/>
      <w:sz w:val="22"/>
      <w:szCs w:val="22"/>
      <w:lang w:eastAsia="en-US"/>
    </w:rPr>
    <w:tblPr/>
  </w:style>
  <w:style w:type="paragraph" w:customStyle="1" w:styleId="Basic">
    <w:name w:val="Basic"/>
    <w:basedOn w:val="a"/>
    <w:link w:val="BasicChar"/>
    <w:qFormat/>
    <w:pPr>
      <w:widowControl/>
      <w:spacing w:before="0" w:after="0"/>
      <w:ind w:firstLine="540"/>
      <w:jc w:val="both"/>
    </w:pPr>
    <w:rPr>
      <w:rFonts w:eastAsia="PMingLiU"/>
      <w:sz w:val="22"/>
      <w:lang w:eastAsia="en-US"/>
    </w:rPr>
  </w:style>
  <w:style w:type="character" w:customStyle="1" w:styleId="BasicChar">
    <w:name w:val="Basic Char"/>
    <w:link w:val="Basic"/>
    <w:rPr>
      <w:rFonts w:eastAsia="PMingLiU"/>
      <w:sz w:val="22"/>
      <w:lang w:eastAsia="en-US"/>
    </w:rPr>
  </w:style>
  <w:style w:type="character" w:customStyle="1" w:styleId="a4">
    <w:name w:val="Абзац списка Знак"/>
    <w:link w:val="a3"/>
    <w:uiPriority w:val="34"/>
    <w:qFormat/>
  </w:style>
  <w:style w:type="paragraph" w:styleId="afff0">
    <w:name w:val="Plain Text"/>
    <w:basedOn w:val="a"/>
    <w:link w:val="afff1"/>
    <w:uiPriority w:val="99"/>
    <w:unhideWhenUsed/>
    <w:pPr>
      <w:widowControl/>
      <w:spacing w:before="0" w:after="0"/>
    </w:pPr>
    <w:rPr>
      <w:rFonts w:eastAsiaTheme="minorHAnsi" w:cstheme="minorBidi"/>
      <w:sz w:val="24"/>
      <w:szCs w:val="21"/>
      <w:lang w:eastAsia="en-US"/>
    </w:rPr>
  </w:style>
  <w:style w:type="character" w:customStyle="1" w:styleId="afff1">
    <w:name w:val="Текст Знак"/>
    <w:basedOn w:val="a0"/>
    <w:link w:val="afff0"/>
    <w:uiPriority w:val="99"/>
    <w:rPr>
      <w:rFonts w:eastAsiaTheme="minorHAnsi" w:cstheme="minorBidi"/>
      <w:sz w:val="24"/>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sadpapp.adm.gazprom.ru/sad/component/doc_search_view?number=333&amp;date=28.05.2007" TargetMode="External"/><Relationship Id="rId13" Type="http://schemas.openxmlformats.org/officeDocument/2006/relationships/hyperlink" Target="file:///C:/Users/BERKSERV/AppData/Local/Microsoft/Windows/INetCache/Content.Outlook/SSSEP5EU/functioning/ees/oes-volga/"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consultantplus://offline/ref=428250E26208CDD628388E63198BB38AC5AA1E3FA9A67F84A83AD1C5F180D1B07F1C4DF95C85A21C021E6D44B2078FA02D14C1FD6A6851H" TargetMode="External"/><Relationship Id="rId12" Type="http://schemas.openxmlformats.org/officeDocument/2006/relationships/hyperlink" Target="file:///C:/Users/BERKSERV/AppData/Local/Microsoft/Windows/INetCache/Content.Outlook/SSSEP5EU/functioning/ees/oes-ural/"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file:///C:/Users/BERKSERV/AppData/Local/Microsoft/Windows/INetCache/Content.Outlook/SSSEP5EU/functioning/ees/oes-northwest/"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BERKSERV/AppData/Local/Microsoft/Windows/INetCache/Content.Outlook/SSSEP5EU/functioning/ees/oes-siberia/" TargetMode="External"/><Relationship Id="rId5" Type="http://schemas.openxmlformats.org/officeDocument/2006/relationships/footnotes" Target="footnotes.xml"/><Relationship Id="rId15" Type="http://schemas.openxmlformats.org/officeDocument/2006/relationships/hyperlink" Target="file:///C:/Users/BERKSERV/AppData/Local/Microsoft/Windows/INetCache/Content.Outlook/SSSEP5EU/functioning/ees/oes-center/" TargetMode="External"/><Relationship Id="rId10" Type="http://schemas.openxmlformats.org/officeDocument/2006/relationships/hyperlink" Target="file:///C:/Users/BERKSERV/AppData/Local/Microsoft/Windows/INetCache/Content.Outlook/SSSEP5EU/functioning/ees/oes-east/"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file:///C:/Users/BERKSERV/AppData/Local/Microsoft/Windows/INetCache/Content.Outlook/SSSEP5EU/functioning/glossary/" TargetMode="External"/><Relationship Id="rId14" Type="http://schemas.openxmlformats.org/officeDocument/2006/relationships/hyperlink" Target="file:///C:/Users/BERKSERV/AppData/Local/Microsoft/Windows/INetCache/Content.Outlook/SSSEP5EU/functioning/ees/oes-south/" TargetMode="Externa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90</Pages>
  <Words>46615</Words>
  <Characters>265711</Characters>
  <Application>Microsoft Office Word</Application>
  <DocSecurity>4</DocSecurity>
  <Lines>2214</Lines>
  <Paragraphs>623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311703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Норенко Елена Андреевна</dc:creator>
  <cp:keywords>Отчет эмитента 12 мес. 2025 (сокращенная версия).docx_0801bacba727ec47_ПД_</cp:keywords>
  <cp:lastModifiedBy>Тройников Иван Владимирович</cp:lastModifiedBy>
  <cp:revision>2</cp:revision>
  <dcterms:created xsi:type="dcterms:W3CDTF">2026-05-29T12:22:00Z</dcterms:created>
  <dcterms:modified xsi:type="dcterms:W3CDTF">2026-05-29T12:22:00Z</dcterms:modified>
  <cp:version>1048576</cp:version>
</cp:coreProperties>
</file>